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3D3F" w14:textId="5731D2A2" w:rsidR="0053322D" w:rsidRPr="00704624" w:rsidRDefault="0053322D" w:rsidP="0053322D">
      <w:pPr>
        <w:keepNext/>
        <w:spacing w:after="240"/>
        <w:jc w:val="center"/>
        <w:outlineLvl w:val="0"/>
        <w:rPr>
          <w:rFonts w:asciiTheme="minorHAnsi" w:hAnsiTheme="minorHAnsi" w:cstheme="minorHAnsi"/>
          <w:b/>
          <w:bCs/>
          <w:sz w:val="22"/>
          <w:szCs w:val="22"/>
          <w:lang w:eastAsia="x-none"/>
        </w:rPr>
      </w:pPr>
      <w:r w:rsidRPr="00704624">
        <w:rPr>
          <w:rFonts w:asciiTheme="minorHAnsi" w:hAnsiTheme="minorHAnsi" w:cstheme="minorHAnsi"/>
          <w:b/>
          <w:bCs/>
          <w:sz w:val="22"/>
          <w:szCs w:val="22"/>
          <w:lang w:eastAsia="x-none"/>
        </w:rPr>
        <w:t>Podmienky bezpečného výkonu prác</w:t>
      </w:r>
    </w:p>
    <w:p w14:paraId="44585DFF" w14:textId="77777777" w:rsidR="0053322D" w:rsidRPr="00704624" w:rsidRDefault="0053322D" w:rsidP="0053322D">
      <w:pPr>
        <w:keepNext/>
        <w:jc w:val="center"/>
        <w:rPr>
          <w:rFonts w:asciiTheme="minorHAnsi" w:hAnsiTheme="minorHAnsi" w:cstheme="minorHAnsi"/>
          <w:b/>
          <w:sz w:val="22"/>
          <w:szCs w:val="22"/>
        </w:rPr>
      </w:pPr>
      <w:r w:rsidRPr="00704624">
        <w:rPr>
          <w:rFonts w:asciiTheme="minorHAnsi" w:hAnsiTheme="minorHAnsi" w:cstheme="minorHAnsi"/>
          <w:b/>
          <w:sz w:val="22"/>
          <w:szCs w:val="22"/>
        </w:rPr>
        <w:t>Čl. I </w:t>
      </w:r>
    </w:p>
    <w:p w14:paraId="0D1ADDC0" w14:textId="77777777" w:rsidR="0053322D" w:rsidRPr="00704624" w:rsidRDefault="0053322D" w:rsidP="0053322D">
      <w:pPr>
        <w:keepNext/>
        <w:spacing w:after="240"/>
        <w:jc w:val="center"/>
        <w:rPr>
          <w:rFonts w:asciiTheme="minorHAnsi" w:hAnsiTheme="minorHAnsi" w:cstheme="minorHAnsi"/>
          <w:b/>
          <w:sz w:val="22"/>
          <w:szCs w:val="22"/>
        </w:rPr>
      </w:pPr>
      <w:r w:rsidRPr="00704624">
        <w:rPr>
          <w:rFonts w:asciiTheme="minorHAnsi" w:hAnsiTheme="minorHAnsi" w:cstheme="minorHAnsi"/>
          <w:b/>
          <w:sz w:val="22"/>
          <w:szCs w:val="22"/>
        </w:rPr>
        <w:t>Základné pojmy</w:t>
      </w:r>
    </w:p>
    <w:p w14:paraId="5AB9C79F"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Na účely tejto prílohy sa Objednávateľom rozumie objednávateľ podľa zmluvy a Dodávateľom zhotoviteľ podľa zmluvy.</w:t>
      </w:r>
    </w:p>
    <w:p w14:paraId="242BF36F" w14:textId="77777777" w:rsidR="0053322D" w:rsidRPr="00704624" w:rsidRDefault="0053322D" w:rsidP="0053322D">
      <w:pPr>
        <w:keepNext/>
        <w:jc w:val="center"/>
        <w:rPr>
          <w:rFonts w:asciiTheme="minorHAnsi" w:hAnsiTheme="minorHAnsi" w:cstheme="minorHAnsi"/>
          <w:b/>
          <w:sz w:val="22"/>
          <w:szCs w:val="22"/>
        </w:rPr>
      </w:pPr>
      <w:r w:rsidRPr="00704624">
        <w:rPr>
          <w:rFonts w:asciiTheme="minorHAnsi" w:hAnsiTheme="minorHAnsi" w:cstheme="minorHAnsi"/>
          <w:b/>
          <w:sz w:val="22"/>
          <w:szCs w:val="22"/>
        </w:rPr>
        <w:t xml:space="preserve">Čl. II </w:t>
      </w:r>
    </w:p>
    <w:p w14:paraId="4526A68A" w14:textId="77777777" w:rsidR="0053322D" w:rsidRPr="00704624" w:rsidRDefault="0053322D" w:rsidP="0053322D">
      <w:pPr>
        <w:keepNext/>
        <w:spacing w:after="240"/>
        <w:jc w:val="center"/>
        <w:rPr>
          <w:rFonts w:asciiTheme="minorHAnsi" w:hAnsiTheme="minorHAnsi" w:cstheme="minorHAnsi"/>
          <w:b/>
          <w:sz w:val="22"/>
          <w:szCs w:val="22"/>
        </w:rPr>
      </w:pPr>
      <w:r w:rsidRPr="00704624">
        <w:rPr>
          <w:rFonts w:asciiTheme="minorHAnsi" w:hAnsiTheme="minorHAnsi" w:cstheme="minorHAnsi"/>
          <w:b/>
          <w:sz w:val="22"/>
          <w:szCs w:val="22"/>
        </w:rPr>
        <w:t>Práva a povinnosti Objednávateľa</w:t>
      </w:r>
    </w:p>
    <w:p w14:paraId="76CFE554"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w:t>
      </w:r>
    </w:p>
    <w:p w14:paraId="209DC89F" w14:textId="77777777" w:rsidR="0053322D" w:rsidRPr="00704624" w:rsidRDefault="0053322D" w:rsidP="0053322D">
      <w:pPr>
        <w:numPr>
          <w:ilvl w:val="2"/>
          <w:numId w:val="2"/>
        </w:numPr>
        <w:ind w:left="709"/>
        <w:jc w:val="both"/>
        <w:rPr>
          <w:rFonts w:asciiTheme="minorHAnsi" w:hAnsiTheme="minorHAnsi" w:cstheme="minorHAnsi"/>
          <w:sz w:val="22"/>
          <w:szCs w:val="22"/>
        </w:rPr>
      </w:pPr>
      <w:r w:rsidRPr="00704624">
        <w:rPr>
          <w:rFonts w:asciiTheme="minorHAnsi" w:hAnsiTheme="minorHAnsi" w:cstheme="minorHAnsi"/>
          <w:sz w:val="22"/>
          <w:szCs w:val="22"/>
        </w:rPr>
        <w:t>vedúci útvaru, ktorý zabezpečuje predmet zmluvy,</w:t>
      </w:r>
    </w:p>
    <w:p w14:paraId="60262E09" w14:textId="77777777" w:rsidR="0053322D" w:rsidRPr="00704624" w:rsidRDefault="0053322D" w:rsidP="0053322D">
      <w:pPr>
        <w:numPr>
          <w:ilvl w:val="2"/>
          <w:numId w:val="2"/>
        </w:numPr>
        <w:ind w:left="709"/>
        <w:jc w:val="both"/>
        <w:rPr>
          <w:rFonts w:asciiTheme="minorHAnsi" w:hAnsiTheme="minorHAnsi" w:cstheme="minorHAnsi"/>
          <w:sz w:val="22"/>
          <w:szCs w:val="22"/>
        </w:rPr>
      </w:pPr>
      <w:r w:rsidRPr="00704624">
        <w:rPr>
          <w:rFonts w:asciiTheme="minorHAnsi" w:hAnsiTheme="minorHAnsi" w:cstheme="minorHAnsi"/>
          <w:sz w:val="22"/>
          <w:szCs w:val="22"/>
        </w:rPr>
        <w:t>zamestnanec útvaru poverený plnením predmetu zmluvy (technický dozor),</w:t>
      </w:r>
    </w:p>
    <w:p w14:paraId="33C10AE7" w14:textId="77777777" w:rsidR="0053322D" w:rsidRPr="00704624" w:rsidRDefault="0053322D" w:rsidP="0053322D">
      <w:pPr>
        <w:numPr>
          <w:ilvl w:val="2"/>
          <w:numId w:val="2"/>
        </w:numPr>
        <w:ind w:left="709"/>
        <w:jc w:val="both"/>
        <w:rPr>
          <w:rFonts w:asciiTheme="minorHAnsi" w:hAnsiTheme="minorHAnsi" w:cstheme="minorHAnsi"/>
          <w:sz w:val="22"/>
          <w:szCs w:val="22"/>
        </w:rPr>
      </w:pPr>
      <w:r w:rsidRPr="00704624">
        <w:rPr>
          <w:rFonts w:asciiTheme="minorHAnsi" w:hAnsiTheme="minorHAnsi" w:cstheme="minorHAnsi"/>
          <w:sz w:val="22"/>
          <w:szCs w:val="22"/>
        </w:rPr>
        <w:t>špecialista BOZP / manažér BOZP</w:t>
      </w:r>
    </w:p>
    <w:p w14:paraId="0FCC0E85" w14:textId="77777777" w:rsidR="0053322D" w:rsidRPr="00704624" w:rsidRDefault="0053322D" w:rsidP="0053322D">
      <w:pPr>
        <w:numPr>
          <w:ilvl w:val="2"/>
          <w:numId w:val="2"/>
        </w:numPr>
        <w:spacing w:after="240"/>
        <w:ind w:left="709"/>
        <w:jc w:val="both"/>
        <w:rPr>
          <w:rFonts w:asciiTheme="minorHAnsi" w:hAnsiTheme="minorHAnsi" w:cstheme="minorHAnsi"/>
          <w:sz w:val="22"/>
          <w:szCs w:val="22"/>
        </w:rPr>
      </w:pPr>
      <w:r w:rsidRPr="00704624">
        <w:rPr>
          <w:rFonts w:asciiTheme="minorHAnsi" w:hAnsiTheme="minorHAnsi" w:cstheme="minorHAnsi"/>
          <w:sz w:val="22"/>
          <w:szCs w:val="22"/>
        </w:rPr>
        <w:t xml:space="preserve">koordinátor bezpečnosti </w:t>
      </w:r>
    </w:p>
    <w:p w14:paraId="2255CC8D"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5094F498"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7D784DF9"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Objednávateľ určí podmienky dodávateľovi najneskôr pri odovzdaní a</w:t>
      </w:r>
      <w:r>
        <w:rPr>
          <w:rFonts w:asciiTheme="minorHAnsi" w:hAnsiTheme="minorHAnsi" w:cstheme="minorHAnsi"/>
          <w:sz w:val="22"/>
          <w:szCs w:val="22"/>
        </w:rPr>
        <w:t xml:space="preserve"> </w:t>
      </w:r>
      <w:r w:rsidRPr="00704624">
        <w:rPr>
          <w:rFonts w:asciiTheme="minorHAnsi" w:hAnsiTheme="minorHAnsi" w:cstheme="minorHAnsi"/>
          <w:sz w:val="22"/>
          <w:szCs w:val="22"/>
        </w:rPr>
        <w:t>prevzatí staveniska/pracoviska:</w:t>
      </w:r>
    </w:p>
    <w:p w14:paraId="0B5432BC" w14:textId="77777777" w:rsidR="0053322D" w:rsidRPr="00704624" w:rsidRDefault="0053322D" w:rsidP="0053322D">
      <w:pPr>
        <w:numPr>
          <w:ilvl w:val="2"/>
          <w:numId w:val="6"/>
        </w:numPr>
        <w:ind w:left="709"/>
        <w:jc w:val="both"/>
        <w:rPr>
          <w:rFonts w:asciiTheme="minorHAnsi" w:hAnsiTheme="minorHAnsi" w:cstheme="minorHAnsi"/>
          <w:sz w:val="22"/>
          <w:szCs w:val="22"/>
        </w:rPr>
      </w:pPr>
      <w:r w:rsidRPr="00704624">
        <w:rPr>
          <w:rFonts w:asciiTheme="minorHAnsi" w:hAnsiTheme="minorHAnsi" w:cstheme="minorHAnsi"/>
          <w:sz w:val="22"/>
          <w:szCs w:val="22"/>
        </w:rPr>
        <w:t>pre vstup a pohyb osôb, vozidiel a mechanizmov v priestoroch objednávateľa,</w:t>
      </w:r>
    </w:p>
    <w:p w14:paraId="382B11B7" w14:textId="77777777" w:rsidR="0053322D" w:rsidRPr="00704624" w:rsidRDefault="0053322D" w:rsidP="0053322D">
      <w:pPr>
        <w:numPr>
          <w:ilvl w:val="2"/>
          <w:numId w:val="6"/>
        </w:numPr>
        <w:ind w:left="709"/>
        <w:jc w:val="both"/>
        <w:rPr>
          <w:rFonts w:asciiTheme="minorHAnsi" w:hAnsiTheme="minorHAnsi" w:cstheme="minorHAnsi"/>
          <w:sz w:val="22"/>
          <w:szCs w:val="22"/>
        </w:rPr>
      </w:pPr>
      <w:r w:rsidRPr="00704624">
        <w:rPr>
          <w:rFonts w:asciiTheme="minorHAnsi" w:hAnsiTheme="minorHAnsi" w:cstheme="minorHAnsi"/>
          <w:sz w:val="22"/>
          <w:szCs w:val="22"/>
        </w:rPr>
        <w:t>miesto a spôsob pripojenia na zdroj technologickej vody,</w:t>
      </w:r>
    </w:p>
    <w:p w14:paraId="675374E4" w14:textId="77777777" w:rsidR="0053322D" w:rsidRPr="00704624" w:rsidRDefault="0053322D" w:rsidP="0053322D">
      <w:pPr>
        <w:numPr>
          <w:ilvl w:val="2"/>
          <w:numId w:val="6"/>
        </w:numPr>
        <w:ind w:left="709"/>
        <w:jc w:val="both"/>
        <w:rPr>
          <w:rFonts w:asciiTheme="minorHAnsi" w:hAnsiTheme="minorHAnsi" w:cstheme="minorHAnsi"/>
          <w:sz w:val="22"/>
          <w:szCs w:val="22"/>
        </w:rPr>
      </w:pPr>
      <w:r w:rsidRPr="00704624">
        <w:rPr>
          <w:rFonts w:asciiTheme="minorHAnsi" w:hAnsiTheme="minorHAnsi" w:cstheme="minorHAnsi"/>
          <w:sz w:val="22"/>
          <w:szCs w:val="22"/>
        </w:rPr>
        <w:t>miesto a spôsob pripojenia na zdroj el. energie – v prípade potreby podmienky pripojenia samostatným staveniskovým rozvádzačom,</w:t>
      </w:r>
    </w:p>
    <w:p w14:paraId="07B83FC0" w14:textId="77777777" w:rsidR="0053322D" w:rsidRPr="00704624" w:rsidRDefault="0053322D" w:rsidP="0053322D">
      <w:pPr>
        <w:numPr>
          <w:ilvl w:val="2"/>
          <w:numId w:val="6"/>
        </w:numPr>
        <w:ind w:left="709"/>
        <w:jc w:val="both"/>
        <w:rPr>
          <w:rFonts w:asciiTheme="minorHAnsi" w:hAnsiTheme="minorHAnsi" w:cstheme="minorHAnsi"/>
          <w:sz w:val="22"/>
          <w:szCs w:val="22"/>
        </w:rPr>
      </w:pPr>
      <w:r w:rsidRPr="00704624">
        <w:rPr>
          <w:rFonts w:asciiTheme="minorHAnsi" w:hAnsiTheme="minorHAnsi" w:cstheme="minorHAnsi"/>
          <w:sz w:val="22"/>
          <w:szCs w:val="22"/>
        </w:rPr>
        <w:t>sociálne priestory,</w:t>
      </w:r>
    </w:p>
    <w:p w14:paraId="427251F6" w14:textId="77777777" w:rsidR="0053322D" w:rsidRPr="00704624" w:rsidRDefault="0053322D" w:rsidP="0053322D">
      <w:pPr>
        <w:numPr>
          <w:ilvl w:val="2"/>
          <w:numId w:val="6"/>
        </w:numPr>
        <w:ind w:left="709"/>
        <w:jc w:val="both"/>
        <w:rPr>
          <w:rFonts w:asciiTheme="minorHAnsi" w:hAnsiTheme="minorHAnsi" w:cstheme="minorHAnsi"/>
          <w:sz w:val="22"/>
          <w:szCs w:val="22"/>
        </w:rPr>
      </w:pPr>
      <w:r w:rsidRPr="00704624">
        <w:rPr>
          <w:rFonts w:asciiTheme="minorHAnsi" w:hAnsiTheme="minorHAnsi" w:cstheme="minorHAnsi"/>
          <w:sz w:val="22"/>
          <w:szCs w:val="22"/>
        </w:rPr>
        <w:t>skladovacie priestory, miesto na skladovanie,</w:t>
      </w:r>
    </w:p>
    <w:p w14:paraId="36BF2076" w14:textId="77777777" w:rsidR="0053322D" w:rsidRPr="00704624" w:rsidRDefault="0053322D" w:rsidP="0053322D">
      <w:pPr>
        <w:numPr>
          <w:ilvl w:val="2"/>
          <w:numId w:val="6"/>
        </w:numPr>
        <w:spacing w:after="240"/>
        <w:ind w:left="709"/>
        <w:jc w:val="both"/>
        <w:rPr>
          <w:rFonts w:asciiTheme="minorHAnsi" w:hAnsiTheme="minorHAnsi" w:cstheme="minorHAnsi"/>
          <w:sz w:val="22"/>
          <w:szCs w:val="22"/>
        </w:rPr>
      </w:pPr>
      <w:r w:rsidRPr="00704624">
        <w:rPr>
          <w:rFonts w:asciiTheme="minorHAnsi" w:hAnsiTheme="minorHAnsi" w:cstheme="minorHAnsi"/>
          <w:sz w:val="22"/>
          <w:szCs w:val="22"/>
        </w:rPr>
        <w:t>podmienky používania hasiacich prístrojov, lekárničiek, spôsob poskytovania prvej pomoci.</w:t>
      </w:r>
    </w:p>
    <w:p w14:paraId="5D4D1D64" w14:textId="77777777" w:rsidR="0053322D" w:rsidRPr="00704624" w:rsidRDefault="0053322D" w:rsidP="0053322D">
      <w:pPr>
        <w:numPr>
          <w:ilvl w:val="0"/>
          <w:numId w:val="3"/>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Objednávateľ zabezpečí pre dodávateľa pred začatím prác vstupné oboznámenie, zamerané na:</w:t>
      </w:r>
    </w:p>
    <w:p w14:paraId="726D6CF4"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t>bezpečnosť a ochranu zdravia pri práci (právne a ostatné predpisy BOZP),</w:t>
      </w:r>
    </w:p>
    <w:p w14:paraId="6AF9AE7F"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t>ochranu pred požiarmi (právne a ostatné predpisy OPP),</w:t>
      </w:r>
    </w:p>
    <w:p w14:paraId="07A820AC"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57FA1490"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2FF3CD5A"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lastRenderedPageBreak/>
        <w:t>zásady koordinácie vo vzťahu k činnosti, ktorá sa v priestoroch objednávateľa vykonáva (oboznámenie so zákazmi vstupu do iných priestorov spoločnosti, nebezpečnými priestormi, zvláštnym režimom a pod.),</w:t>
      </w:r>
    </w:p>
    <w:p w14:paraId="3719C4E5" w14:textId="77777777" w:rsidR="0053322D" w:rsidRPr="00704624" w:rsidRDefault="0053322D" w:rsidP="0053322D">
      <w:pPr>
        <w:numPr>
          <w:ilvl w:val="2"/>
          <w:numId w:val="7"/>
        </w:numPr>
        <w:ind w:left="709"/>
        <w:jc w:val="both"/>
        <w:rPr>
          <w:rFonts w:asciiTheme="minorHAnsi" w:hAnsiTheme="minorHAnsi" w:cstheme="minorHAnsi"/>
          <w:sz w:val="22"/>
          <w:szCs w:val="22"/>
        </w:rPr>
      </w:pPr>
      <w:r w:rsidRPr="00704624">
        <w:rPr>
          <w:rFonts w:asciiTheme="minorHAnsi" w:hAnsiTheme="minorHAnsi" w:cstheme="minorHAnsi"/>
          <w:sz w:val="22"/>
          <w:szCs w:val="22"/>
        </w:rPr>
        <w:t>vyskytujúce sa nebezpečenstvá a ohrozenia a ich účinky na zdravie a ochrana pred nimi,</w:t>
      </w:r>
    </w:p>
    <w:p w14:paraId="72A35ECE" w14:textId="77777777" w:rsidR="0053322D" w:rsidRPr="00704624" w:rsidRDefault="0053322D" w:rsidP="0053322D">
      <w:pPr>
        <w:numPr>
          <w:ilvl w:val="2"/>
          <w:numId w:val="7"/>
        </w:numPr>
        <w:spacing w:after="240"/>
        <w:ind w:left="709"/>
        <w:jc w:val="both"/>
        <w:rPr>
          <w:rFonts w:asciiTheme="minorHAnsi" w:hAnsiTheme="minorHAnsi" w:cstheme="minorHAnsi"/>
          <w:sz w:val="22"/>
          <w:szCs w:val="22"/>
        </w:rPr>
      </w:pPr>
      <w:r w:rsidRPr="00704624">
        <w:rPr>
          <w:rFonts w:asciiTheme="minorHAnsi" w:hAnsiTheme="minorHAnsi" w:cstheme="minorHAnsi"/>
          <w:sz w:val="22"/>
          <w:szCs w:val="22"/>
        </w:rPr>
        <w:t>ďalšie súvisiace interné predpisy objednávateľa,</w:t>
      </w:r>
    </w:p>
    <w:p w14:paraId="0078E7F8" w14:textId="77777777" w:rsidR="0053322D" w:rsidRPr="00704624" w:rsidRDefault="0053322D" w:rsidP="0053322D">
      <w:pPr>
        <w:keepNext/>
        <w:jc w:val="center"/>
        <w:rPr>
          <w:rFonts w:asciiTheme="minorHAnsi" w:hAnsiTheme="minorHAnsi" w:cstheme="minorHAnsi"/>
          <w:b/>
          <w:sz w:val="22"/>
          <w:szCs w:val="22"/>
        </w:rPr>
      </w:pPr>
      <w:r w:rsidRPr="00704624">
        <w:rPr>
          <w:rFonts w:asciiTheme="minorHAnsi" w:hAnsiTheme="minorHAnsi" w:cstheme="minorHAnsi"/>
          <w:b/>
          <w:sz w:val="22"/>
          <w:szCs w:val="22"/>
        </w:rPr>
        <w:t xml:space="preserve">Čl. III </w:t>
      </w:r>
    </w:p>
    <w:p w14:paraId="3967D48F" w14:textId="77777777" w:rsidR="0053322D" w:rsidRPr="00704624" w:rsidRDefault="0053322D" w:rsidP="0053322D">
      <w:pPr>
        <w:keepNext/>
        <w:spacing w:after="240"/>
        <w:jc w:val="center"/>
        <w:rPr>
          <w:rFonts w:asciiTheme="minorHAnsi" w:hAnsiTheme="minorHAnsi" w:cstheme="minorHAnsi"/>
          <w:b/>
          <w:sz w:val="22"/>
          <w:szCs w:val="22"/>
        </w:rPr>
      </w:pPr>
      <w:r w:rsidRPr="00704624">
        <w:rPr>
          <w:rFonts w:asciiTheme="minorHAnsi" w:hAnsiTheme="minorHAnsi" w:cstheme="minorHAnsi"/>
          <w:b/>
          <w:sz w:val="22"/>
          <w:szCs w:val="22"/>
        </w:rPr>
        <w:t>Zodpovednosť za odbornú a zdravotnú spôsobilosť</w:t>
      </w:r>
    </w:p>
    <w:p w14:paraId="5F524605" w14:textId="77777777" w:rsidR="0053322D" w:rsidRPr="00704624" w:rsidRDefault="0053322D" w:rsidP="0053322D">
      <w:pPr>
        <w:spacing w:after="240"/>
        <w:ind w:left="284"/>
        <w:jc w:val="both"/>
        <w:rPr>
          <w:rFonts w:asciiTheme="minorHAnsi" w:hAnsiTheme="minorHAnsi" w:cstheme="minorHAnsi"/>
          <w:sz w:val="22"/>
          <w:szCs w:val="22"/>
        </w:rPr>
      </w:pPr>
      <w:r w:rsidRPr="00704624">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72550B79" w14:textId="77777777" w:rsidR="0053322D" w:rsidRPr="00704624" w:rsidRDefault="0053322D" w:rsidP="0053322D">
      <w:pPr>
        <w:keepNext/>
        <w:jc w:val="center"/>
        <w:rPr>
          <w:rFonts w:asciiTheme="minorHAnsi" w:hAnsiTheme="minorHAnsi" w:cstheme="minorHAnsi"/>
          <w:b/>
          <w:sz w:val="22"/>
          <w:szCs w:val="22"/>
        </w:rPr>
      </w:pPr>
      <w:r w:rsidRPr="00704624">
        <w:rPr>
          <w:rFonts w:asciiTheme="minorHAnsi" w:hAnsiTheme="minorHAnsi" w:cstheme="minorHAnsi"/>
          <w:b/>
          <w:sz w:val="22"/>
          <w:szCs w:val="22"/>
        </w:rPr>
        <w:t xml:space="preserve">Čl. IV </w:t>
      </w:r>
    </w:p>
    <w:p w14:paraId="43A6231C" w14:textId="77777777" w:rsidR="0053322D" w:rsidRPr="00704624" w:rsidRDefault="0053322D" w:rsidP="0053322D">
      <w:pPr>
        <w:keepNext/>
        <w:spacing w:after="240"/>
        <w:jc w:val="center"/>
        <w:rPr>
          <w:rFonts w:asciiTheme="minorHAnsi" w:hAnsiTheme="minorHAnsi" w:cstheme="minorHAnsi"/>
          <w:b/>
          <w:sz w:val="22"/>
          <w:szCs w:val="22"/>
        </w:rPr>
      </w:pPr>
      <w:r w:rsidRPr="00704624">
        <w:rPr>
          <w:rFonts w:asciiTheme="minorHAnsi" w:hAnsiTheme="minorHAnsi" w:cstheme="minorHAnsi"/>
          <w:b/>
          <w:sz w:val="22"/>
          <w:szCs w:val="22"/>
        </w:rPr>
        <w:t>Zodpovednosti a povinnosti dodávateľa</w:t>
      </w:r>
    </w:p>
    <w:p w14:paraId="579DB047"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57807C18"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7725788F"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color w:val="000000"/>
          <w:sz w:val="22"/>
          <w:szCs w:val="22"/>
          <w:shd w:val="clear" w:color="auto" w:fill="FFFFFF"/>
        </w:rPr>
        <w:t>Dodávateľ je povinný zabezpečiť výkon koordinátora bezpečnosti a koordinátora dokumentácie podľa nariadenia vlády SR č. 396/2006 Z. z. o minimálnych bezpečnostných a zdravotných požiadavkách na stavenisko.</w:t>
      </w:r>
    </w:p>
    <w:p w14:paraId="738F0FF7"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 xml:space="preserve">Dodávateľ je povinný </w:t>
      </w:r>
      <w:r w:rsidRPr="00704624">
        <w:rPr>
          <w:rFonts w:asciiTheme="minorHAnsi" w:hAnsiTheme="minorHAnsi" w:cstheme="minorHAnsi"/>
          <w:color w:val="000000"/>
          <w:sz w:val="22"/>
          <w:szCs w:val="22"/>
          <w:shd w:val="clear" w:color="auto" w:fill="FFFFFF"/>
        </w:rPr>
        <w:t>vypracovať a odovzdať plán bezpečnosti a ochrany zdravia pri práci v písomnej forme podľa § 3 nariadenia vlády SR č. 396/2006 Z. z. o minimálnych bezpečnostných a zdravotných požiadavkách na stavenisko.</w:t>
      </w:r>
    </w:p>
    <w:p w14:paraId="5264670C"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color w:val="000000"/>
          <w:sz w:val="22"/>
          <w:szCs w:val="22"/>
          <w:shd w:val="clear" w:color="auto" w:fill="FFFFFF"/>
        </w:rPr>
        <w:t xml:space="preserve">Dodávateľ je povinný písomne dohodnúť spoluprácu zamestnávateľov podľa § 18 zákona NR SR č. 124/2006 Z. z. </w:t>
      </w:r>
      <w:r w:rsidRPr="00704624">
        <w:rPr>
          <w:rFonts w:asciiTheme="minorHAnsi" w:hAnsiTheme="minorHAnsi" w:cstheme="minorHAnsi"/>
          <w:sz w:val="22"/>
          <w:szCs w:val="22"/>
        </w:rPr>
        <w:t>o BOZP v znení neskorších predpisov</w:t>
      </w:r>
      <w:r w:rsidRPr="00704624">
        <w:rPr>
          <w:rFonts w:asciiTheme="minorHAnsi" w:hAnsiTheme="minorHAnsi" w:cstheme="minorHAnsi"/>
          <w:color w:val="000000"/>
          <w:sz w:val="22"/>
          <w:szCs w:val="22"/>
          <w:shd w:val="clear" w:color="auto" w:fill="FFFFFF"/>
        </w:rPr>
        <w:t xml:space="preserve">, ktorí plnia predmet zmluvy, resp. objednávky na spoločnom pracovisku. </w:t>
      </w:r>
    </w:p>
    <w:p w14:paraId="70D21BFC"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Povinnosti dodávateľa pri vybavovaní vstupu:</w:t>
      </w:r>
    </w:p>
    <w:p w14:paraId="47889093" w14:textId="77777777" w:rsidR="0053322D" w:rsidRPr="00704624" w:rsidRDefault="0053322D" w:rsidP="0053322D">
      <w:pPr>
        <w:numPr>
          <w:ilvl w:val="2"/>
          <w:numId w:val="8"/>
        </w:numPr>
        <w:ind w:left="709"/>
        <w:jc w:val="both"/>
        <w:rPr>
          <w:rFonts w:asciiTheme="minorHAnsi" w:hAnsiTheme="minorHAnsi" w:cstheme="minorHAnsi"/>
          <w:sz w:val="22"/>
          <w:szCs w:val="22"/>
        </w:rPr>
      </w:pPr>
      <w:r w:rsidRPr="00704624">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5D1F4552" w14:textId="77777777" w:rsidR="0053322D" w:rsidRPr="00704624" w:rsidRDefault="0053322D" w:rsidP="0053322D">
      <w:pPr>
        <w:numPr>
          <w:ilvl w:val="2"/>
          <w:numId w:val="8"/>
        </w:numPr>
        <w:ind w:left="709"/>
        <w:jc w:val="both"/>
        <w:rPr>
          <w:rFonts w:asciiTheme="minorHAnsi" w:hAnsiTheme="minorHAnsi" w:cstheme="minorHAnsi"/>
          <w:sz w:val="22"/>
          <w:szCs w:val="22"/>
        </w:rPr>
      </w:pPr>
      <w:r w:rsidRPr="00704624">
        <w:rPr>
          <w:rFonts w:asciiTheme="minorHAnsi" w:hAnsiTheme="minorHAnsi" w:cstheme="minorHAnsi"/>
          <w:sz w:val="22"/>
          <w:szCs w:val="22"/>
        </w:rPr>
        <w:t xml:space="preserve">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w:t>
      </w:r>
      <w:r w:rsidRPr="00704624">
        <w:rPr>
          <w:rFonts w:asciiTheme="minorHAnsi" w:hAnsiTheme="minorHAnsi" w:cstheme="minorHAnsi"/>
          <w:sz w:val="22"/>
          <w:szCs w:val="22"/>
        </w:rPr>
        <w:lastRenderedPageBreak/>
        <w:t>zmluvných činností. V prípade zmien (zvýšenia počtu, výmena zamestnancov a pod.) je dodávateľ povinný menné zoznamy bezodkladne aktualizovať alebo doplniť;</w:t>
      </w:r>
    </w:p>
    <w:p w14:paraId="13B3468A" w14:textId="77777777" w:rsidR="0053322D" w:rsidRPr="00704624" w:rsidRDefault="0053322D" w:rsidP="0053322D">
      <w:pPr>
        <w:numPr>
          <w:ilvl w:val="2"/>
          <w:numId w:val="8"/>
        </w:numPr>
        <w:ind w:left="709"/>
        <w:jc w:val="both"/>
        <w:rPr>
          <w:rFonts w:asciiTheme="minorHAnsi" w:hAnsiTheme="minorHAnsi" w:cstheme="minorHAnsi"/>
          <w:sz w:val="22"/>
          <w:szCs w:val="22"/>
        </w:rPr>
      </w:pPr>
      <w:r w:rsidRPr="00704624">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5FA5D740" w14:textId="77777777" w:rsidR="0053322D" w:rsidRPr="00704624" w:rsidRDefault="0053322D" w:rsidP="0053322D">
      <w:pPr>
        <w:numPr>
          <w:ilvl w:val="2"/>
          <w:numId w:val="8"/>
        </w:numPr>
        <w:spacing w:after="240"/>
        <w:ind w:left="709"/>
        <w:jc w:val="both"/>
        <w:rPr>
          <w:rFonts w:asciiTheme="minorHAnsi" w:hAnsiTheme="minorHAnsi" w:cstheme="minorHAnsi"/>
          <w:sz w:val="22"/>
          <w:szCs w:val="22"/>
        </w:rPr>
      </w:pPr>
      <w:r w:rsidRPr="00704624">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783F9826"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Pre práce v priestoroch objednávateľa je dodávateľ povinný:</w:t>
      </w:r>
    </w:p>
    <w:p w14:paraId="3ABCEB35"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7C981E67"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právne predpisy a ostatné predpisy na zaistenie BOZP a OPP;</w:t>
      </w:r>
    </w:p>
    <w:p w14:paraId="72D34090"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usmernenia koordinátora bezpečnosti;</w:t>
      </w:r>
    </w:p>
    <w:p w14:paraId="2D60CAED"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čistotu a poriadok na stavenisku/pracovisku a jeho okolí;</w:t>
      </w:r>
    </w:p>
    <w:p w14:paraId="7555AE40"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zákaz fajčenia a používania otvoreného ohňa v priestoroch objednávateľa; fajčenie je povolené na vyhradených (označených) miestach na fajčenie;</w:t>
      </w:r>
    </w:p>
    <w:p w14:paraId="730ACA61"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p>
    <w:p w14:paraId="0002D245"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07494B41"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rešpektovať bezpečnostné značenia a bezpečnostné signalizačné zariadenia (akustické, optické) na stavenisku/pracovisku ako aj dopravné značenie v areáli;</w:t>
      </w:r>
    </w:p>
    <w:p w14:paraId="21D8BA35"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vybaviť svojich zamestnancov všetkými potrebnými osobnými ochrannými pracovnými prostriedkami (ďalej len „</w:t>
      </w:r>
      <w:r w:rsidRPr="00704624">
        <w:rPr>
          <w:rFonts w:asciiTheme="minorHAnsi" w:hAnsiTheme="minorHAnsi" w:cstheme="minorHAnsi"/>
          <w:b/>
          <w:bCs/>
          <w:sz w:val="22"/>
          <w:szCs w:val="22"/>
        </w:rPr>
        <w:t>OOPP</w:t>
      </w:r>
      <w:r w:rsidRPr="00704624">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126C5068"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zabezpečiť označenie užívaných priestorov názvom firmy Dodávateľa (vymedzených priestorov apod.);</w:t>
      </w:r>
    </w:p>
    <w:p w14:paraId="60555549"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44B5B181"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používať výhradne miesta a spôsoby pripojenia el. energie, vody určené objednávateľom pri odovzdaní staveniska/pracoviska;</w:t>
      </w:r>
    </w:p>
    <w:p w14:paraId="09676F7E"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uskladňovať náradie, materiál a ostatné veci len na mieste, ktoré odsúhlasí objednávateľ pri odovzdaní staveniska/pracoviska;</w:t>
      </w:r>
    </w:p>
    <w:p w14:paraId="602CEF24"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viesť stavebný denník odo dňa prevzatia staveniska, do ktorého budú zapisované všetky skutočnosti vyplývajúce zo zmluvy. Denník musí mať očíslované strany, znehodnotená strana musí zostať v denníku – nesmie sa vytrhávať;</w:t>
      </w:r>
    </w:p>
    <w:p w14:paraId="36DF2506"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denne zapisovať a podpisovať záznamy v stavebnom denníku prostredníctvom určenej osoby v tom dni, v ktorom boli práce vykonané alebo nastali okolnosti, ktoré sú predmetom zápisu;</w:t>
      </w:r>
    </w:p>
    <w:p w14:paraId="299C3511"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predkladať objednávateľovi stavebný denník na záznam kontrolnej činnosti a zápis prípadných zistených nedostatkov, resp. písomné vyjadrenie stanoviska poverenému zástupcovi objednávateľa priebežne počas výkonu zmluvných činností;</w:t>
      </w:r>
    </w:p>
    <w:p w14:paraId="68AC9781"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lastRenderedPageBreak/>
        <w:t>dodávateľ je povinný umožniť objednávateľovi vykonať zápis do stavebného denníka o zistených nedostatkoch počas vykonávania predmetu zmluvy;</w:t>
      </w:r>
    </w:p>
    <w:p w14:paraId="403D10E5"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dodávateľ je povinný k písomnému vyjadreniu stanoviska objednávateľa zapísať svoje stanovisko do denníka max. do troch (3) dní; v opačnom prípade sa má za to, že dodávateľ s vykonaným zápisom objednávateľa súhlasí;</w:t>
      </w:r>
    </w:p>
    <w:p w14:paraId="01BE03A7"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povinnosť viesť stavebný denník končí odovzdaním staveniska/pracoviska dodávateľom a prevzatím objednávateľom;</w:t>
      </w:r>
    </w:p>
    <w:p w14:paraId="719EC4B4"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72ED1F95" w14:textId="77777777" w:rsidR="0053322D" w:rsidRPr="00704624" w:rsidRDefault="0053322D" w:rsidP="0053322D">
      <w:pPr>
        <w:numPr>
          <w:ilvl w:val="2"/>
          <w:numId w:val="9"/>
        </w:numPr>
        <w:ind w:left="709"/>
        <w:jc w:val="both"/>
        <w:rPr>
          <w:rFonts w:asciiTheme="minorHAnsi" w:hAnsiTheme="minorHAnsi" w:cstheme="minorHAnsi"/>
          <w:sz w:val="22"/>
          <w:szCs w:val="22"/>
        </w:rPr>
      </w:pPr>
      <w:r w:rsidRPr="00704624">
        <w:rPr>
          <w:rFonts w:asciiTheme="minorHAnsi" w:hAnsiTheme="minorHAnsi" w:cstheme="minorHAnsi"/>
          <w:sz w:val="22"/>
          <w:szCs w:val="22"/>
        </w:rPr>
        <w:t>práce so stavebnou mechanizáciou (bager, žeriav a pod.) pod elektrickým vedením nn/vn/</w:t>
      </w:r>
      <w:proofErr w:type="spellStart"/>
      <w:r w:rsidRPr="00704624">
        <w:rPr>
          <w:rFonts w:asciiTheme="minorHAnsi" w:hAnsiTheme="minorHAnsi" w:cstheme="minorHAnsi"/>
          <w:sz w:val="22"/>
          <w:szCs w:val="22"/>
        </w:rPr>
        <w:t>vvn</w:t>
      </w:r>
      <w:proofErr w:type="spellEnd"/>
      <w:r w:rsidRPr="00704624">
        <w:rPr>
          <w:rFonts w:asciiTheme="minorHAnsi" w:hAnsiTheme="minorHAnsi" w:cstheme="minorHAnsi"/>
          <w:sz w:val="22"/>
          <w:szCs w:val="22"/>
        </w:rPr>
        <w:t xml:space="preserve"> a v jeho blízkosti vykonávať až po zaistení a zabezpečení pracoviska elektricky a mechanicky;</w:t>
      </w:r>
    </w:p>
    <w:p w14:paraId="0DE18128" w14:textId="77777777" w:rsidR="0053322D" w:rsidRPr="00704624" w:rsidRDefault="0053322D" w:rsidP="0053322D">
      <w:pPr>
        <w:numPr>
          <w:ilvl w:val="2"/>
          <w:numId w:val="9"/>
        </w:numPr>
        <w:spacing w:after="240"/>
        <w:ind w:left="709"/>
        <w:jc w:val="both"/>
        <w:rPr>
          <w:rFonts w:asciiTheme="minorHAnsi" w:hAnsiTheme="minorHAnsi" w:cstheme="minorHAnsi"/>
          <w:sz w:val="22"/>
          <w:szCs w:val="22"/>
        </w:rPr>
      </w:pPr>
      <w:r w:rsidRPr="00704624">
        <w:rPr>
          <w:rFonts w:asciiTheme="minorHAnsi" w:hAnsiTheme="minorHAnsi" w:cstheme="minorHAnsi"/>
          <w:sz w:val="22"/>
          <w:szCs w:val="22"/>
        </w:rPr>
        <w:t>dodávateľ je povinný dodržiavať smernice a pokyny objednávateľa pre oblasť ochrany jeho majetku.</w:t>
      </w:r>
    </w:p>
    <w:p w14:paraId="1F248FE9"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704624">
        <w:rPr>
          <w:rFonts w:asciiTheme="minorHAnsi" w:hAnsiTheme="minorHAnsi" w:cstheme="minorHAns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704624">
        <w:rPr>
          <w:rFonts w:asciiTheme="minorHAnsi" w:hAnsiTheme="minorHAnsi" w:cstheme="minorHAnsi"/>
          <w:sz w:val="22"/>
          <w:szCs w:val="22"/>
        </w:rPr>
        <w:t xml:space="preserve">, nariadenie vlády SR č. 396/2006 Z. z. o minimálnych bezpečnostných a zdravotných požiadavkách na stavenisko, súvisiace STN a pod.) a ochrany pred požiarmi pri prácach, ktoré bude v zmysle zmluvy vykonávať, a v plnom rozsahu zodpovedá za oblasť BOZP a ochranu pred požiarmi. </w:t>
      </w:r>
    </w:p>
    <w:p w14:paraId="58B18FD8"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2EE84622"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1FD75913"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Vyčlenené priestory bude dodávateľ udržiavať na svoje náklady v súlade s bezpečnostnými, požiarnymi, technickými a hygienickými predpismi.</w:t>
      </w:r>
    </w:p>
    <w:p w14:paraId="2380F5C3"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2560F4BC"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1399A14C"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lastRenderedPageBreak/>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07CDA1A7"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 xml:space="preserve">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 </w:t>
      </w:r>
    </w:p>
    <w:p w14:paraId="76BF2A41"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stavenisku/pracovisku.</w:t>
      </w:r>
    </w:p>
    <w:p w14:paraId="1EC4EE5C"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nahlásiť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03F904E2"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predložiť zodpovednému zástupcovi objednávateľa bez zbytočného odkladu po podpísaní zmluvy, najneskôr však do troch (3) dní pred začatím plnenia predmetu zmluvy, údaje (meno a priezvisko, resp. obchodný názov, adresa, resp. sídlo, predmet výkonu prác) o právnických a fyzických osobách na vykonávanie prác na stavenisku/pracovisku (podzhotoviteľov). V prípade zmeny uvedených údajov je dodávateľ povinný toto bezodkladne nahlásiť zodpovednému zástupcovi objednávateľa, ktorý zabezpečuje výkon predmetu zmluvy/objednávky resp. koordinátorovi bezpečnosti.</w:t>
      </w:r>
    </w:p>
    <w:p w14:paraId="033D1431"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zohľadňovať usmernenia koordinátora bezpečnosti a nezbavuje sa zodpovednosti za bezpečnosť a ochranu zdravia pri práci tým, že je zabezpečovaná koordinácia projektovej dokumentácie a koordinácia bezpečnosti.</w:t>
      </w:r>
    </w:p>
    <w:p w14:paraId="593C5738" w14:textId="77777777" w:rsidR="0053322D" w:rsidRPr="00704624" w:rsidRDefault="0053322D" w:rsidP="0053322D">
      <w:pPr>
        <w:widowControl w:val="0"/>
        <w:numPr>
          <w:ilvl w:val="0"/>
          <w:numId w:val="4"/>
        </w:numPr>
        <w:tabs>
          <w:tab w:val="clear" w:pos="360"/>
          <w:tab w:val="left" w:pos="851"/>
          <w:tab w:val="left" w:pos="1418"/>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a jeho subdodávatelia sú povinní dodržiavať ustanovenia Plánu BOZP. Dodávateľ je povinný preukázateľne oboznámiť svojich zamestnancov a subdodávateľov s ustanoveniami Plánu BOZP.</w:t>
      </w:r>
    </w:p>
    <w:p w14:paraId="7AEADAC1" w14:textId="77777777" w:rsidR="0053322D" w:rsidRPr="00704624" w:rsidRDefault="0053322D" w:rsidP="0053322D">
      <w:pPr>
        <w:widowControl w:val="0"/>
        <w:numPr>
          <w:ilvl w:val="0"/>
          <w:numId w:val="4"/>
        </w:numPr>
        <w:tabs>
          <w:tab w:val="clear" w:pos="360"/>
          <w:tab w:val="left" w:pos="851"/>
          <w:tab w:val="left" w:pos="1418"/>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1ED72609"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3EDAEDED"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w:t>
      </w:r>
    </w:p>
    <w:p w14:paraId="6FE681F3"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lastRenderedPageBreak/>
        <w:t>Dodávateľ je povinný všetky ním zdemontované ochranné zariadenia (kryty, zábradlia a pod.) uviesť do pôvodného stavu.</w:t>
      </w:r>
    </w:p>
    <w:p w14:paraId="791433D8" w14:textId="77777777" w:rsidR="0053322D" w:rsidRPr="00704624" w:rsidRDefault="0053322D" w:rsidP="0053322D">
      <w:pPr>
        <w:numPr>
          <w:ilvl w:val="0"/>
          <w:numId w:val="4"/>
        </w:numPr>
        <w:tabs>
          <w:tab w:val="clear" w:pos="36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zabezpečí vypratanie staveniska/pracoviska po ukončení plnenia predmetu zmluvy a uvedie pracovné miesto do pôvodného stavu tak, ako bolo pred začatím prác, alebo do stavu podľa dohody v prípade, že boli urobené zmeny.</w:t>
      </w:r>
    </w:p>
    <w:p w14:paraId="1715ED51" w14:textId="77777777" w:rsidR="0053322D" w:rsidRPr="00704624" w:rsidRDefault="0053322D" w:rsidP="0053322D">
      <w:pPr>
        <w:keepNext/>
        <w:jc w:val="center"/>
        <w:rPr>
          <w:rFonts w:asciiTheme="minorHAnsi" w:hAnsiTheme="minorHAnsi" w:cstheme="minorHAnsi"/>
          <w:b/>
          <w:sz w:val="22"/>
          <w:szCs w:val="22"/>
        </w:rPr>
      </w:pPr>
      <w:r w:rsidRPr="00704624">
        <w:rPr>
          <w:rFonts w:asciiTheme="minorHAnsi" w:hAnsiTheme="minorHAnsi" w:cstheme="minorHAnsi"/>
          <w:b/>
          <w:sz w:val="22"/>
          <w:szCs w:val="22"/>
        </w:rPr>
        <w:t xml:space="preserve">Čl. V </w:t>
      </w:r>
    </w:p>
    <w:p w14:paraId="3F3DFC0A" w14:textId="77777777" w:rsidR="0053322D" w:rsidRPr="00704624" w:rsidRDefault="0053322D" w:rsidP="0053322D">
      <w:pPr>
        <w:keepNext/>
        <w:spacing w:after="240"/>
        <w:jc w:val="center"/>
        <w:rPr>
          <w:rFonts w:asciiTheme="minorHAnsi" w:hAnsiTheme="minorHAnsi" w:cstheme="minorHAnsi"/>
          <w:b/>
          <w:sz w:val="22"/>
          <w:szCs w:val="22"/>
        </w:rPr>
      </w:pPr>
      <w:r w:rsidRPr="00704624">
        <w:rPr>
          <w:rFonts w:asciiTheme="minorHAnsi" w:hAnsiTheme="minorHAnsi" w:cstheme="minorHAnsi"/>
          <w:b/>
          <w:sz w:val="22"/>
          <w:szCs w:val="22"/>
        </w:rPr>
        <w:t>Porušenie povinností – sankcie</w:t>
      </w:r>
    </w:p>
    <w:p w14:paraId="47FAEDA4"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 xml:space="preserve">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 </w:t>
      </w:r>
    </w:p>
    <w:p w14:paraId="007B7689"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1B7F23F6"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77936510"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Zamestnancovi dodávateľa, ktorý porušil povinnosti vyplývajúce z týchto Podmienok, právnych predpisov a ostatných predpisov BOZP, OPP a zmluvy, bude zakázaný vstup do priestorov objednávateľa.</w:t>
      </w:r>
    </w:p>
    <w:p w14:paraId="6C991434"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Okrem uplatňovania sankcií podľa článku V. je dodávateľ povinný nahradiť všetky škody, ktoré spôsobil neplnením zmluvných povinností.</w:t>
      </w:r>
    </w:p>
    <w:p w14:paraId="47A8FB03"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38B28020"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t>Postihy za požitie alkoholických nápojov a iných omamných a psychotropných látok pri vykonávaní predmetu zmluvy v priestoroch objednávateľa:</w:t>
      </w:r>
    </w:p>
    <w:p w14:paraId="32EA23E4" w14:textId="77777777" w:rsidR="0053322D" w:rsidRPr="00704624" w:rsidRDefault="0053322D" w:rsidP="0053322D">
      <w:pPr>
        <w:numPr>
          <w:ilvl w:val="1"/>
          <w:numId w:val="4"/>
        </w:numPr>
        <w:tabs>
          <w:tab w:val="clear" w:pos="1193"/>
        </w:tabs>
        <w:ind w:left="567" w:hanging="283"/>
        <w:jc w:val="both"/>
        <w:rPr>
          <w:rFonts w:asciiTheme="minorHAnsi" w:hAnsiTheme="minorHAnsi" w:cstheme="minorHAnsi"/>
          <w:sz w:val="22"/>
          <w:szCs w:val="22"/>
        </w:rPr>
      </w:pPr>
      <w:r w:rsidRPr="00704624">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2 000 €;</w:t>
      </w:r>
    </w:p>
    <w:p w14:paraId="5B6FBA9E" w14:textId="77777777" w:rsidR="0053322D" w:rsidRPr="00704624" w:rsidRDefault="0053322D" w:rsidP="0053322D">
      <w:pPr>
        <w:numPr>
          <w:ilvl w:val="1"/>
          <w:numId w:val="4"/>
        </w:numPr>
        <w:tabs>
          <w:tab w:val="clear" w:pos="1193"/>
        </w:tabs>
        <w:ind w:left="567" w:hanging="283"/>
        <w:jc w:val="both"/>
        <w:rPr>
          <w:rFonts w:asciiTheme="minorHAnsi" w:hAnsiTheme="minorHAnsi" w:cstheme="minorHAnsi"/>
          <w:sz w:val="22"/>
          <w:szCs w:val="22"/>
        </w:rPr>
      </w:pPr>
      <w:r w:rsidRPr="00704624">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6857229A" w14:textId="77777777" w:rsidR="0053322D" w:rsidRPr="00704624" w:rsidRDefault="0053322D" w:rsidP="0053322D">
      <w:pPr>
        <w:numPr>
          <w:ilvl w:val="1"/>
          <w:numId w:val="4"/>
        </w:numPr>
        <w:tabs>
          <w:tab w:val="clear" w:pos="1193"/>
        </w:tabs>
        <w:spacing w:after="240"/>
        <w:ind w:left="567" w:hanging="283"/>
        <w:jc w:val="both"/>
        <w:rPr>
          <w:rFonts w:asciiTheme="minorHAnsi" w:hAnsiTheme="minorHAnsi" w:cstheme="minorHAnsi"/>
          <w:sz w:val="22"/>
          <w:szCs w:val="22"/>
        </w:rPr>
      </w:pPr>
      <w:r w:rsidRPr="00704624">
        <w:rPr>
          <w:rFonts w:asciiTheme="minorHAnsi" w:hAnsiTheme="minorHAnsi" w:cstheme="minorHAnsi"/>
          <w:sz w:val="22"/>
          <w:szCs w:val="22"/>
        </w:rPr>
        <w:t xml:space="preserve">Odmietnutie podrobiť sa dychovej skúške alebo odberu krvi či lekárskemu vyšetreniu za účelom zistenia požitia alkoholických nápojov a iných omamných a psychotropných látok sa považuje za pozitívnu skúšku. </w:t>
      </w:r>
    </w:p>
    <w:p w14:paraId="71D75AAA" w14:textId="77777777" w:rsidR="0053322D" w:rsidRPr="00704624" w:rsidRDefault="0053322D" w:rsidP="0053322D">
      <w:pPr>
        <w:numPr>
          <w:ilvl w:val="1"/>
          <w:numId w:val="1"/>
        </w:numPr>
        <w:tabs>
          <w:tab w:val="clear" w:pos="1440"/>
        </w:tabs>
        <w:spacing w:after="240"/>
        <w:ind w:left="284" w:hanging="284"/>
        <w:jc w:val="both"/>
        <w:rPr>
          <w:rFonts w:asciiTheme="minorHAnsi" w:hAnsiTheme="minorHAnsi" w:cstheme="minorHAnsi"/>
          <w:sz w:val="22"/>
          <w:szCs w:val="22"/>
        </w:rPr>
      </w:pPr>
      <w:r w:rsidRPr="00704624">
        <w:rPr>
          <w:rFonts w:asciiTheme="minorHAnsi" w:hAnsiTheme="minorHAnsi" w:cstheme="minorHAnsi"/>
          <w:sz w:val="22"/>
          <w:szCs w:val="22"/>
        </w:rPr>
        <w:lastRenderedPageBreak/>
        <w:t>Pokiaľ zmluva nestanovuje inak, nesprávne parkovanie, porušovanie dopravného značenia a nerešpektovanie zásad pohybu vozidiel v priestoroch objednávateľa dodávateľom, resp. zamestnancami dodávateľa (jeho subdodávateľa):</w:t>
      </w:r>
    </w:p>
    <w:p w14:paraId="6DBE1B19" w14:textId="77777777" w:rsidR="0053322D" w:rsidRPr="00704624" w:rsidRDefault="0053322D" w:rsidP="0053322D">
      <w:pPr>
        <w:numPr>
          <w:ilvl w:val="0"/>
          <w:numId w:val="5"/>
        </w:numPr>
        <w:tabs>
          <w:tab w:val="clear" w:pos="1211"/>
        </w:tabs>
        <w:ind w:left="567" w:hanging="283"/>
        <w:jc w:val="both"/>
        <w:rPr>
          <w:rFonts w:asciiTheme="minorHAnsi" w:hAnsiTheme="minorHAnsi" w:cstheme="minorHAnsi"/>
          <w:sz w:val="22"/>
          <w:szCs w:val="22"/>
        </w:rPr>
      </w:pPr>
      <w:r w:rsidRPr="00704624">
        <w:rPr>
          <w:rFonts w:asciiTheme="minorHAnsi" w:hAnsiTheme="minorHAnsi" w:cstheme="minorHAnsi"/>
          <w:sz w:val="22"/>
          <w:szCs w:val="22"/>
        </w:rPr>
        <w:t>pri prvom priestupku zamestnanca dodávateľa (jeho subdodávateľa) nasleduje písomné upozornenie dodávateľa a objednávateľ môže požadovať od dodávateľa zaplatenie zmluvnej pokuty vo výške 33 €,</w:t>
      </w:r>
    </w:p>
    <w:p w14:paraId="31228B4A" w14:textId="77777777" w:rsidR="0053322D" w:rsidRPr="00704624" w:rsidRDefault="0053322D" w:rsidP="0053322D">
      <w:pPr>
        <w:numPr>
          <w:ilvl w:val="0"/>
          <w:numId w:val="5"/>
        </w:numPr>
        <w:tabs>
          <w:tab w:val="clear" w:pos="1211"/>
        </w:tabs>
        <w:ind w:left="567" w:hanging="283"/>
        <w:jc w:val="both"/>
        <w:rPr>
          <w:rFonts w:asciiTheme="minorHAnsi" w:hAnsiTheme="minorHAnsi" w:cstheme="minorHAnsi"/>
          <w:sz w:val="22"/>
          <w:szCs w:val="22"/>
        </w:rPr>
      </w:pPr>
      <w:r w:rsidRPr="00704624">
        <w:rPr>
          <w:rFonts w:asciiTheme="minorHAnsi" w:hAnsiTheme="minorHAnsi" w:cstheme="minorHAnsi"/>
          <w:sz w:val="22"/>
          <w:szCs w:val="22"/>
        </w:rPr>
        <w:t>pri druhom priestupku môže objednávateľ uplatniť voči dodávateľovi zmluvnú pokutu vo výške 66 €,</w:t>
      </w:r>
    </w:p>
    <w:p w14:paraId="15465D71" w14:textId="77777777" w:rsidR="0053322D" w:rsidRPr="00704624" w:rsidRDefault="0053322D" w:rsidP="0053322D">
      <w:pPr>
        <w:numPr>
          <w:ilvl w:val="0"/>
          <w:numId w:val="5"/>
        </w:numPr>
        <w:tabs>
          <w:tab w:val="clear" w:pos="1211"/>
        </w:tabs>
        <w:ind w:left="567" w:hanging="283"/>
        <w:jc w:val="both"/>
        <w:rPr>
          <w:rFonts w:asciiTheme="minorHAnsi" w:hAnsiTheme="minorHAnsi" w:cstheme="minorHAnsi"/>
          <w:sz w:val="22"/>
          <w:szCs w:val="22"/>
        </w:rPr>
      </w:pPr>
      <w:r w:rsidRPr="00704624">
        <w:rPr>
          <w:rFonts w:asciiTheme="minorHAnsi" w:hAnsiTheme="minorHAnsi" w:cstheme="minorHAns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477B7D6F" w14:textId="77777777" w:rsidR="0053322D" w:rsidRPr="00704624" w:rsidRDefault="0053322D" w:rsidP="0053322D">
      <w:pPr>
        <w:numPr>
          <w:ilvl w:val="0"/>
          <w:numId w:val="5"/>
        </w:numPr>
        <w:tabs>
          <w:tab w:val="clear" w:pos="1211"/>
        </w:tabs>
        <w:spacing w:after="240"/>
        <w:ind w:left="567" w:hanging="283"/>
        <w:jc w:val="both"/>
        <w:rPr>
          <w:rFonts w:asciiTheme="minorHAnsi" w:hAnsiTheme="minorHAnsi" w:cstheme="minorHAnsi"/>
          <w:sz w:val="22"/>
          <w:szCs w:val="22"/>
        </w:rPr>
      </w:pPr>
      <w:r w:rsidRPr="00704624">
        <w:rPr>
          <w:rFonts w:asciiTheme="minorHAnsi" w:hAnsiTheme="minorHAnsi" w:cstheme="minorHAnsi"/>
          <w:sz w:val="22"/>
          <w:szCs w:val="22"/>
        </w:rPr>
        <w:t>pri opakovaní priestupku tým istým vodičom (zamestnancom dodávateľa alebo jeho subdodávateľa) má tretí priestupok za následok trvalý zákaz vedenia motorového vozidla dotknutým vodičom v priestoroch objednávateľa.</w:t>
      </w:r>
    </w:p>
    <w:p w14:paraId="1626DE2C" w14:textId="678D7321" w:rsidR="00252D8B" w:rsidRPr="0053322D" w:rsidRDefault="0053322D" w:rsidP="0053322D">
      <w:pPr>
        <w:numPr>
          <w:ilvl w:val="1"/>
          <w:numId w:val="1"/>
        </w:numPr>
        <w:tabs>
          <w:tab w:val="clear" w:pos="1440"/>
        </w:tabs>
        <w:spacing w:after="240"/>
        <w:ind w:left="284" w:hanging="284"/>
        <w:jc w:val="both"/>
        <w:rPr>
          <w:rFonts w:asciiTheme="minorHAnsi" w:eastAsiaTheme="majorEastAsia" w:hAnsiTheme="minorHAnsi" w:cstheme="minorHAnsi"/>
          <w:color w:val="0F4761" w:themeColor="accent1" w:themeShade="BF"/>
          <w:sz w:val="40"/>
          <w:szCs w:val="40"/>
        </w:rPr>
      </w:pPr>
      <w:r w:rsidRPr="00704624">
        <w:rPr>
          <w:rFonts w:asciiTheme="minorHAnsi" w:hAnsiTheme="minorHAnsi" w:cstheme="minorHAns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sectPr w:rsidR="00252D8B" w:rsidRPr="00533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3B8473FA"/>
    <w:multiLevelType w:val="hybridMultilevel"/>
    <w:tmpl w:val="32100B4E"/>
    <w:lvl w:ilvl="0" w:tplc="4CF4B09C">
      <w:start w:val="1"/>
      <w:numFmt w:val="lowerLetter"/>
      <w:lvlText w:val="%1)"/>
      <w:lvlJc w:val="left"/>
      <w:pPr>
        <w:tabs>
          <w:tab w:val="num" w:pos="1136"/>
        </w:tabs>
        <w:ind w:left="1136" w:hanging="427"/>
      </w:pPr>
      <w:rPr>
        <w:rFonts w:hint="default"/>
      </w:rPr>
    </w:lvl>
    <w:lvl w:ilvl="1" w:tplc="1F56843A">
      <w:start w:val="1"/>
      <w:numFmt w:val="decimal"/>
      <w:lvlText w:val="%2."/>
      <w:lvlJc w:val="left"/>
      <w:pPr>
        <w:tabs>
          <w:tab w:val="num" w:pos="1440"/>
        </w:tabs>
        <w:ind w:left="1440" w:hanging="360"/>
      </w:pPr>
      <w:rPr>
        <w:rFonts w:hint="default"/>
        <w:b w:val="0"/>
        <w:bCs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14249A0"/>
    <w:multiLevelType w:val="hybridMultilevel"/>
    <w:tmpl w:val="95625064"/>
    <w:styleLink w:val="tl1"/>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5"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947879274">
    <w:abstractNumId w:val="3"/>
  </w:num>
  <w:num w:numId="2" w16cid:durableId="598101725">
    <w:abstractNumId w:val="6"/>
  </w:num>
  <w:num w:numId="3" w16cid:durableId="1746105047">
    <w:abstractNumId w:val="1"/>
  </w:num>
  <w:num w:numId="4" w16cid:durableId="2002392857">
    <w:abstractNumId w:val="4"/>
  </w:num>
  <w:num w:numId="5" w16cid:durableId="18314908">
    <w:abstractNumId w:val="5"/>
  </w:num>
  <w:num w:numId="6" w16cid:durableId="871304313">
    <w:abstractNumId w:val="8"/>
  </w:num>
  <w:num w:numId="7" w16cid:durableId="1973289810">
    <w:abstractNumId w:val="2"/>
  </w:num>
  <w:num w:numId="8" w16cid:durableId="212935382">
    <w:abstractNumId w:val="0"/>
  </w:num>
  <w:num w:numId="9" w16cid:durableId="97151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2D"/>
    <w:rsid w:val="0013147D"/>
    <w:rsid w:val="00252D8B"/>
    <w:rsid w:val="0053322D"/>
    <w:rsid w:val="00630F63"/>
    <w:rsid w:val="008B1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7514"/>
  <w15:chartTrackingRefBased/>
  <w15:docId w15:val="{9D20AA35-145C-4A2F-9186-EA859164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322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kapitola1,T1,Normálny 1,Článok"/>
    <w:basedOn w:val="Normlny"/>
    <w:next w:val="Normlny"/>
    <w:link w:val="Nadpis1Char"/>
    <w:uiPriority w:val="9"/>
    <w:qFormat/>
    <w:rsid w:val="0053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3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332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332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3322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3322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3322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3322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3322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1 Char,T1 Char,Normálny 1 Char,Článok Char"/>
    <w:basedOn w:val="Predvolenpsmoodseku"/>
    <w:link w:val="Nadpis1"/>
    <w:uiPriority w:val="9"/>
    <w:rsid w:val="005332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332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3322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3322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3322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3322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3322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3322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3322D"/>
    <w:rPr>
      <w:rFonts w:eastAsiaTheme="majorEastAsia" w:cstheme="majorBidi"/>
      <w:color w:val="272727" w:themeColor="text1" w:themeTint="D8"/>
    </w:rPr>
  </w:style>
  <w:style w:type="paragraph" w:styleId="Nzov">
    <w:name w:val="Title"/>
    <w:basedOn w:val="Normlny"/>
    <w:next w:val="Normlny"/>
    <w:link w:val="NzovChar"/>
    <w:uiPriority w:val="10"/>
    <w:qFormat/>
    <w:rsid w:val="0053322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3322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3322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3322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3322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3322D"/>
    <w:rPr>
      <w:i/>
      <w:iCs/>
      <w:color w:val="404040" w:themeColor="text1" w:themeTint="BF"/>
    </w:rPr>
  </w:style>
  <w:style w:type="paragraph" w:styleId="Odsekzoznamu">
    <w:name w:val="List Paragraph"/>
    <w:basedOn w:val="Normlny"/>
    <w:uiPriority w:val="34"/>
    <w:qFormat/>
    <w:rsid w:val="0053322D"/>
    <w:pPr>
      <w:ind w:left="720"/>
      <w:contextualSpacing/>
    </w:pPr>
  </w:style>
  <w:style w:type="character" w:styleId="Intenzvnezvraznenie">
    <w:name w:val="Intense Emphasis"/>
    <w:basedOn w:val="Predvolenpsmoodseku"/>
    <w:uiPriority w:val="21"/>
    <w:qFormat/>
    <w:rsid w:val="0053322D"/>
    <w:rPr>
      <w:i/>
      <w:iCs/>
      <w:color w:val="0F4761" w:themeColor="accent1" w:themeShade="BF"/>
    </w:rPr>
  </w:style>
  <w:style w:type="paragraph" w:styleId="Zvraznencitcia">
    <w:name w:val="Intense Quote"/>
    <w:basedOn w:val="Normlny"/>
    <w:next w:val="Normlny"/>
    <w:link w:val="ZvraznencitciaChar"/>
    <w:uiPriority w:val="30"/>
    <w:qFormat/>
    <w:rsid w:val="0053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3322D"/>
    <w:rPr>
      <w:i/>
      <w:iCs/>
      <w:color w:val="0F4761" w:themeColor="accent1" w:themeShade="BF"/>
    </w:rPr>
  </w:style>
  <w:style w:type="character" w:styleId="Zvraznenodkaz">
    <w:name w:val="Intense Reference"/>
    <w:basedOn w:val="Predvolenpsmoodseku"/>
    <w:uiPriority w:val="32"/>
    <w:qFormat/>
    <w:rsid w:val="0053322D"/>
    <w:rPr>
      <w:b/>
      <w:bCs/>
      <w:smallCaps/>
      <w:color w:val="0F4761" w:themeColor="accent1" w:themeShade="BF"/>
      <w:spacing w:val="5"/>
    </w:rPr>
  </w:style>
  <w:style w:type="numbering" w:customStyle="1" w:styleId="tl1">
    <w:name w:val="Štýl1"/>
    <w:uiPriority w:val="99"/>
    <w:rsid w:val="0053322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2923</Words>
  <Characters>16663</Characters>
  <Application>Microsoft Office Word</Application>
  <DocSecurity>0</DocSecurity>
  <Lines>138</Lines>
  <Paragraphs>39</Paragraphs>
  <ScaleCrop>false</ScaleCrop>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Turanská Ľudmila</dc:creator>
  <cp:keywords/>
  <dc:description/>
  <cp:lastModifiedBy>Turanská Ľudmila</cp:lastModifiedBy>
  <cp:revision>1</cp:revision>
  <dcterms:created xsi:type="dcterms:W3CDTF">2026-05-27T12:54:00Z</dcterms:created>
  <dcterms:modified xsi:type="dcterms:W3CDTF">2026-05-27T12:56:00Z</dcterms:modified>
</cp:coreProperties>
</file>