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80763" w14:textId="145204DF" w:rsidR="008478B3" w:rsidRDefault="008478B3" w:rsidP="008478B3">
      <w:pPr>
        <w:jc w:val="center"/>
        <w:rPr>
          <w:rFonts w:ascii="Calibri" w:eastAsia="Times New Roman" w:hAnsi="Calibri" w:cs="Calibri"/>
          <w:b/>
          <w:bCs/>
          <w:sz w:val="28"/>
          <w:szCs w:val="28"/>
          <w:lang w:eastAsia="sk-SK"/>
        </w:rPr>
      </w:pPr>
      <w:r w:rsidRPr="008478B3">
        <w:rPr>
          <w:rFonts w:ascii="Calibri" w:eastAsia="Times New Roman" w:hAnsi="Calibri" w:cs="Calibri"/>
          <w:b/>
          <w:bCs/>
          <w:sz w:val="28"/>
          <w:szCs w:val="28"/>
          <w:lang w:eastAsia="sk-SK"/>
        </w:rPr>
        <w:t>Vypracovanie projektovej dokumentácie v stupni projektový zámer -  Rekonštrukci</w:t>
      </w:r>
      <w:r w:rsidR="0064477F">
        <w:rPr>
          <w:rFonts w:ascii="Calibri" w:eastAsia="Times New Roman" w:hAnsi="Calibri" w:cs="Calibri"/>
          <w:b/>
          <w:bCs/>
          <w:sz w:val="28"/>
          <w:szCs w:val="28"/>
          <w:lang w:eastAsia="sk-SK"/>
        </w:rPr>
        <w:t>a</w:t>
      </w:r>
      <w:r w:rsidRPr="008478B3">
        <w:rPr>
          <w:rFonts w:ascii="Calibri" w:eastAsia="Times New Roman" w:hAnsi="Calibri" w:cs="Calibri"/>
          <w:b/>
          <w:bCs/>
          <w:sz w:val="28"/>
          <w:szCs w:val="28"/>
          <w:lang w:eastAsia="sk-SK"/>
        </w:rPr>
        <w:t xml:space="preserve"> rozvodu pre čas</w:t>
      </w:r>
      <w:r w:rsidR="0064477F">
        <w:rPr>
          <w:rFonts w:ascii="Calibri" w:eastAsia="Times New Roman" w:hAnsi="Calibri" w:cs="Calibri"/>
          <w:b/>
          <w:bCs/>
          <w:sz w:val="28"/>
          <w:szCs w:val="28"/>
          <w:lang w:eastAsia="sk-SK"/>
        </w:rPr>
        <w:t>ti</w:t>
      </w:r>
      <w:r w:rsidRPr="008478B3">
        <w:rPr>
          <w:rFonts w:ascii="Calibri" w:eastAsia="Times New Roman" w:hAnsi="Calibri" w:cs="Calibri"/>
          <w:b/>
          <w:bCs/>
          <w:sz w:val="28"/>
          <w:szCs w:val="28"/>
          <w:lang w:eastAsia="sk-SK"/>
        </w:rPr>
        <w:t xml:space="preserve"> </w:t>
      </w:r>
      <w:r w:rsidR="008D5B75">
        <w:rPr>
          <w:rFonts w:ascii="Calibri" w:eastAsia="Times New Roman" w:hAnsi="Calibri" w:cs="Calibri"/>
          <w:b/>
          <w:bCs/>
          <w:sz w:val="28"/>
          <w:szCs w:val="28"/>
          <w:lang w:eastAsia="sk-SK"/>
        </w:rPr>
        <w:t>2</w:t>
      </w:r>
      <w:r w:rsidRPr="008478B3">
        <w:rPr>
          <w:rFonts w:ascii="Calibri" w:eastAsia="Times New Roman" w:hAnsi="Calibri" w:cs="Calibri"/>
          <w:b/>
          <w:bCs/>
          <w:sz w:val="28"/>
          <w:szCs w:val="28"/>
          <w:lang w:eastAsia="sk-SK"/>
        </w:rPr>
        <w:t>7</w:t>
      </w:r>
      <w:r w:rsidR="0064477F">
        <w:rPr>
          <w:rFonts w:ascii="Calibri" w:eastAsia="Times New Roman" w:hAnsi="Calibri" w:cs="Calibri"/>
          <w:b/>
          <w:bCs/>
          <w:sz w:val="28"/>
          <w:szCs w:val="28"/>
          <w:lang w:eastAsia="sk-SK"/>
        </w:rPr>
        <w:t>.</w:t>
      </w:r>
      <w:r w:rsidRPr="008478B3">
        <w:rPr>
          <w:rFonts w:ascii="Calibri" w:eastAsia="Times New Roman" w:hAnsi="Calibri" w:cs="Calibri"/>
          <w:b/>
          <w:bCs/>
          <w:sz w:val="28"/>
          <w:szCs w:val="28"/>
          <w:lang w:eastAsia="sk-SK"/>
        </w:rPr>
        <w:t xml:space="preserve"> etapy v úseku š.</w:t>
      </w:r>
      <w:r w:rsidR="008D5B75">
        <w:rPr>
          <w:rFonts w:ascii="Calibri" w:eastAsia="Times New Roman" w:hAnsi="Calibri" w:cs="Calibri"/>
          <w:b/>
          <w:bCs/>
          <w:sz w:val="28"/>
          <w:szCs w:val="28"/>
          <w:lang w:eastAsia="sk-SK"/>
        </w:rPr>
        <w:t>27010</w:t>
      </w:r>
      <w:r w:rsidRPr="008478B3">
        <w:rPr>
          <w:rFonts w:ascii="Calibri" w:eastAsia="Times New Roman" w:hAnsi="Calibri" w:cs="Calibri"/>
          <w:b/>
          <w:bCs/>
          <w:sz w:val="28"/>
          <w:szCs w:val="28"/>
          <w:lang w:eastAsia="sk-SK"/>
        </w:rPr>
        <w:t xml:space="preserve"> - š.</w:t>
      </w:r>
      <w:r w:rsidR="008D5B75">
        <w:rPr>
          <w:rFonts w:ascii="Calibri" w:eastAsia="Times New Roman" w:hAnsi="Calibri" w:cs="Calibri"/>
          <w:b/>
          <w:bCs/>
          <w:sz w:val="28"/>
          <w:szCs w:val="28"/>
          <w:lang w:eastAsia="sk-SK"/>
        </w:rPr>
        <w:t>27050</w:t>
      </w:r>
      <w:r w:rsidR="0064477F">
        <w:rPr>
          <w:rFonts w:ascii="Calibri" w:eastAsia="Times New Roman" w:hAnsi="Calibri" w:cs="Calibri"/>
          <w:b/>
          <w:bCs/>
          <w:sz w:val="28"/>
          <w:szCs w:val="28"/>
          <w:lang w:eastAsia="sk-SK"/>
        </w:rPr>
        <w:t xml:space="preserve"> v</w:t>
      </w:r>
      <w:r w:rsidR="003328CA">
        <w:rPr>
          <w:rFonts w:ascii="Calibri" w:eastAsia="Times New Roman" w:hAnsi="Calibri" w:cs="Calibri"/>
          <w:b/>
          <w:bCs/>
          <w:sz w:val="28"/>
          <w:szCs w:val="28"/>
          <w:lang w:eastAsia="sk-SK"/>
        </w:rPr>
        <w:t> </w:t>
      </w:r>
      <w:r w:rsidR="0064477F">
        <w:rPr>
          <w:rFonts w:ascii="Calibri" w:eastAsia="Times New Roman" w:hAnsi="Calibri" w:cs="Calibri"/>
          <w:b/>
          <w:bCs/>
          <w:sz w:val="28"/>
          <w:szCs w:val="28"/>
          <w:lang w:eastAsia="sk-SK"/>
        </w:rPr>
        <w:t>Košiciach</w:t>
      </w:r>
    </w:p>
    <w:p w14:paraId="458C695F" w14:textId="77777777" w:rsidR="003328CA" w:rsidRPr="008478B3" w:rsidRDefault="003328CA" w:rsidP="008478B3">
      <w:pPr>
        <w:jc w:val="center"/>
        <w:rPr>
          <w:rFonts w:ascii="Calibri" w:eastAsia="Times New Roman" w:hAnsi="Calibri" w:cs="Calibri"/>
          <w:b/>
          <w:bCs/>
          <w:sz w:val="28"/>
          <w:szCs w:val="28"/>
          <w:lang w:eastAsia="sk-SK"/>
        </w:rPr>
      </w:pPr>
    </w:p>
    <w:p w14:paraId="1AE79CB7" w14:textId="1455A97D" w:rsidR="008478B3" w:rsidRPr="00B31287" w:rsidRDefault="008478B3" w:rsidP="00A74E75">
      <w:pPr>
        <w:jc w:val="both"/>
        <w:rPr>
          <w:rFonts w:ascii="Calibri" w:eastAsia="Times New Roman" w:hAnsi="Calibri" w:cs="Calibri"/>
          <w:lang w:eastAsia="sk-SK"/>
        </w:rPr>
      </w:pPr>
      <w:r>
        <w:rPr>
          <w:rFonts w:ascii="Calibri" w:eastAsia="Times New Roman" w:hAnsi="Calibri" w:cs="Calibri"/>
          <w:b/>
          <w:bCs/>
          <w:lang w:eastAsia="sk-SK"/>
        </w:rPr>
        <w:t>Predmetom je v</w:t>
      </w:r>
      <w:r w:rsidRPr="008478B3">
        <w:rPr>
          <w:rFonts w:ascii="Calibri" w:eastAsia="Times New Roman" w:hAnsi="Calibri" w:cs="Calibri"/>
          <w:b/>
          <w:bCs/>
          <w:lang w:eastAsia="sk-SK"/>
        </w:rPr>
        <w:t>ypracovanie a dodanie projektovej dokumentácie v stupni projektov</w:t>
      </w:r>
      <w:r w:rsidR="0064477F">
        <w:rPr>
          <w:rFonts w:ascii="Calibri" w:eastAsia="Times New Roman" w:hAnsi="Calibri" w:cs="Calibri"/>
          <w:b/>
          <w:bCs/>
          <w:lang w:eastAsia="sk-SK"/>
        </w:rPr>
        <w:t>ý</w:t>
      </w:r>
      <w:r w:rsidRPr="008478B3">
        <w:rPr>
          <w:rFonts w:ascii="Calibri" w:eastAsia="Times New Roman" w:hAnsi="Calibri" w:cs="Calibri"/>
          <w:b/>
          <w:bCs/>
          <w:lang w:eastAsia="sk-SK"/>
        </w:rPr>
        <w:t xml:space="preserve"> zámer –  stavebno-technologického riešenia stavby</w:t>
      </w:r>
      <w:r w:rsidRPr="00B31287">
        <w:rPr>
          <w:rFonts w:ascii="Calibri" w:eastAsia="Times New Roman" w:hAnsi="Calibri" w:cs="Calibri"/>
          <w:lang w:eastAsia="sk-SK"/>
        </w:rPr>
        <w:t xml:space="preserve"> pre účely Žiadosti o poskytnutie dotácie z výzvy Modernizačného fondu 5/2026 v minimálnom </w:t>
      </w:r>
      <w:r w:rsidRPr="008478B3">
        <w:rPr>
          <w:rFonts w:ascii="Calibri" w:eastAsia="Times New Roman" w:hAnsi="Calibri" w:cs="Calibri"/>
          <w:b/>
          <w:bCs/>
          <w:lang w:eastAsia="sk-SK"/>
        </w:rPr>
        <w:t>rozsahu</w:t>
      </w:r>
      <w:r w:rsidRPr="00B31287">
        <w:rPr>
          <w:rFonts w:ascii="Calibri" w:eastAsia="Times New Roman" w:hAnsi="Calibri" w:cs="Calibri"/>
          <w:lang w:eastAsia="sk-SK"/>
        </w:rPr>
        <w:t>:</w:t>
      </w:r>
    </w:p>
    <w:p w14:paraId="4273DEB0" w14:textId="30857F51" w:rsidR="008478B3" w:rsidRPr="00B31287" w:rsidRDefault="008478B3" w:rsidP="00A74E75">
      <w:pPr>
        <w:numPr>
          <w:ilvl w:val="0"/>
          <w:numId w:val="6"/>
        </w:numPr>
        <w:jc w:val="both"/>
        <w:rPr>
          <w:rFonts w:ascii="Calibri" w:eastAsia="Times New Roman" w:hAnsi="Calibri" w:cs="Calibri"/>
          <w:lang w:eastAsia="sk-SK"/>
        </w:rPr>
      </w:pPr>
      <w:r w:rsidRPr="008478B3">
        <w:rPr>
          <w:rFonts w:ascii="Calibri" w:eastAsia="Times New Roman" w:hAnsi="Calibri" w:cs="Calibri"/>
          <w:b/>
          <w:bCs/>
          <w:lang w:eastAsia="sk-SK"/>
        </w:rPr>
        <w:t>technická správa</w:t>
      </w:r>
      <w:r w:rsidRPr="00B31287">
        <w:rPr>
          <w:rFonts w:ascii="Calibri" w:eastAsia="Times New Roman" w:hAnsi="Calibri" w:cs="Calibri"/>
          <w:lang w:eastAsia="sk-SK"/>
        </w:rPr>
        <w:t>, ktorá bude obsahovať popis základných údajov o</w:t>
      </w:r>
      <w:r w:rsidR="0064477F">
        <w:rPr>
          <w:rFonts w:ascii="Calibri" w:eastAsia="Times New Roman" w:hAnsi="Calibri" w:cs="Calibri"/>
          <w:lang w:eastAsia="sk-SK"/>
        </w:rPr>
        <w:t> </w:t>
      </w:r>
      <w:r w:rsidRPr="00B31287">
        <w:rPr>
          <w:rFonts w:ascii="Calibri" w:eastAsia="Times New Roman" w:hAnsi="Calibri" w:cs="Calibri"/>
          <w:lang w:eastAsia="sk-SK"/>
        </w:rPr>
        <w:t>stavbe</w:t>
      </w:r>
      <w:r w:rsidR="0064477F">
        <w:rPr>
          <w:rFonts w:ascii="Calibri" w:eastAsia="Times New Roman" w:hAnsi="Calibri" w:cs="Calibri"/>
          <w:lang w:eastAsia="sk-SK"/>
        </w:rPr>
        <w:t>,</w:t>
      </w:r>
      <w:r w:rsidRPr="00B31287">
        <w:rPr>
          <w:rFonts w:ascii="Calibri" w:eastAsia="Times New Roman" w:hAnsi="Calibri" w:cs="Calibri"/>
          <w:lang w:eastAsia="sk-SK"/>
        </w:rPr>
        <w:t xml:space="preserve"> jej účel, lokalizáci</w:t>
      </w:r>
      <w:r w:rsidR="0064477F">
        <w:rPr>
          <w:rFonts w:ascii="Calibri" w:eastAsia="Times New Roman" w:hAnsi="Calibri" w:cs="Calibri"/>
          <w:lang w:eastAsia="sk-SK"/>
        </w:rPr>
        <w:t>u</w:t>
      </w:r>
      <w:r w:rsidRPr="00B31287">
        <w:rPr>
          <w:rFonts w:ascii="Calibri" w:eastAsia="Times New Roman" w:hAnsi="Calibri" w:cs="Calibri"/>
          <w:lang w:eastAsia="sk-SK"/>
        </w:rPr>
        <w:t>, kapacit</w:t>
      </w:r>
      <w:r w:rsidR="0064477F">
        <w:rPr>
          <w:rFonts w:ascii="Calibri" w:eastAsia="Times New Roman" w:hAnsi="Calibri" w:cs="Calibri"/>
          <w:lang w:eastAsia="sk-SK"/>
        </w:rPr>
        <w:t>y</w:t>
      </w:r>
      <w:r w:rsidRPr="00B31287">
        <w:rPr>
          <w:rFonts w:ascii="Calibri" w:eastAsia="Times New Roman" w:hAnsi="Calibri" w:cs="Calibri"/>
          <w:lang w:eastAsia="sk-SK"/>
        </w:rPr>
        <w:t xml:space="preserve"> a požiadavk</w:t>
      </w:r>
      <w:r w:rsidR="0064477F">
        <w:rPr>
          <w:rFonts w:ascii="Calibri" w:eastAsia="Times New Roman" w:hAnsi="Calibri" w:cs="Calibri"/>
          <w:lang w:eastAsia="sk-SK"/>
        </w:rPr>
        <w:t>y</w:t>
      </w:r>
      <w:r w:rsidRPr="00B31287">
        <w:rPr>
          <w:rFonts w:ascii="Calibri" w:eastAsia="Times New Roman" w:hAnsi="Calibri" w:cs="Calibri"/>
          <w:lang w:eastAsia="sk-SK"/>
        </w:rPr>
        <w:t xml:space="preserve"> na infraštruktúru, hlavn</w:t>
      </w:r>
      <w:r w:rsidR="0064477F">
        <w:rPr>
          <w:rFonts w:ascii="Calibri" w:eastAsia="Times New Roman" w:hAnsi="Calibri" w:cs="Calibri"/>
          <w:lang w:eastAsia="sk-SK"/>
        </w:rPr>
        <w:t>é</w:t>
      </w:r>
      <w:r w:rsidRPr="00B31287">
        <w:rPr>
          <w:rFonts w:ascii="Calibri" w:eastAsia="Times New Roman" w:hAnsi="Calibri" w:cs="Calibri"/>
          <w:lang w:eastAsia="sk-SK"/>
        </w:rPr>
        <w:t xml:space="preserve"> technick</w:t>
      </w:r>
      <w:r w:rsidR="0064477F">
        <w:rPr>
          <w:rFonts w:ascii="Calibri" w:eastAsia="Times New Roman" w:hAnsi="Calibri" w:cs="Calibri"/>
          <w:lang w:eastAsia="sk-SK"/>
        </w:rPr>
        <w:t>é</w:t>
      </w:r>
      <w:r w:rsidRPr="00B31287">
        <w:rPr>
          <w:rFonts w:ascii="Calibri" w:eastAsia="Times New Roman" w:hAnsi="Calibri" w:cs="Calibri"/>
          <w:lang w:eastAsia="sk-SK"/>
        </w:rPr>
        <w:t xml:space="preserve"> požiadavk</w:t>
      </w:r>
      <w:r w:rsidR="0064477F">
        <w:rPr>
          <w:rFonts w:ascii="Calibri" w:eastAsia="Times New Roman" w:hAnsi="Calibri" w:cs="Calibri"/>
          <w:lang w:eastAsia="sk-SK"/>
        </w:rPr>
        <w:t>y</w:t>
      </w:r>
      <w:r w:rsidRPr="00B31287">
        <w:rPr>
          <w:rFonts w:ascii="Calibri" w:eastAsia="Times New Roman" w:hAnsi="Calibri" w:cs="Calibri"/>
          <w:lang w:eastAsia="sk-SK"/>
        </w:rPr>
        <w:t xml:space="preserve"> na projektované dielo</w:t>
      </w:r>
      <w:r w:rsidR="0064477F">
        <w:rPr>
          <w:rFonts w:ascii="Calibri" w:eastAsia="Times New Roman" w:hAnsi="Calibri" w:cs="Calibri"/>
          <w:lang w:eastAsia="sk-SK"/>
        </w:rPr>
        <w:t xml:space="preserve"> a </w:t>
      </w:r>
      <w:r w:rsidRPr="00B31287">
        <w:rPr>
          <w:rFonts w:ascii="Calibri" w:eastAsia="Times New Roman" w:hAnsi="Calibri" w:cs="Calibri"/>
          <w:lang w:eastAsia="sk-SK"/>
        </w:rPr>
        <w:t xml:space="preserve">zoznam dotknutých pozemkov, </w:t>
      </w:r>
    </w:p>
    <w:p w14:paraId="7232E757" w14:textId="77777777" w:rsidR="008478B3" w:rsidRPr="00B31287" w:rsidRDefault="008478B3" w:rsidP="00A74E75">
      <w:pPr>
        <w:numPr>
          <w:ilvl w:val="0"/>
          <w:numId w:val="6"/>
        </w:numPr>
        <w:jc w:val="both"/>
        <w:rPr>
          <w:rFonts w:ascii="Calibri" w:eastAsia="Times New Roman" w:hAnsi="Calibri" w:cs="Calibri"/>
          <w:lang w:eastAsia="sk-SK"/>
        </w:rPr>
      </w:pPr>
      <w:r w:rsidRPr="008478B3">
        <w:rPr>
          <w:rFonts w:ascii="Calibri" w:eastAsia="Times New Roman" w:hAnsi="Calibri" w:cs="Calibri"/>
          <w:b/>
          <w:bCs/>
          <w:lang w:eastAsia="sk-SK"/>
        </w:rPr>
        <w:t>výkresová časť</w:t>
      </w:r>
      <w:r w:rsidRPr="00B31287">
        <w:rPr>
          <w:rFonts w:ascii="Calibri" w:eastAsia="Times New Roman" w:hAnsi="Calibri" w:cs="Calibri"/>
          <w:lang w:eastAsia="sk-SK"/>
        </w:rPr>
        <w:t xml:space="preserve"> - jasná a jednoduchá forma popisujúca realizovaný projekt v min. odporúčanom rozsahu (situačné výkresy, pôdorysy, základné rezy, pohľady, vizualizácie),</w:t>
      </w:r>
    </w:p>
    <w:p w14:paraId="25E1F9E8" w14:textId="77777777" w:rsidR="008478B3" w:rsidRPr="00B31287" w:rsidRDefault="008478B3" w:rsidP="00A74E75">
      <w:pPr>
        <w:numPr>
          <w:ilvl w:val="0"/>
          <w:numId w:val="6"/>
        </w:numPr>
        <w:jc w:val="both"/>
        <w:rPr>
          <w:rFonts w:ascii="Calibri" w:eastAsia="Times New Roman" w:hAnsi="Calibri" w:cs="Calibri"/>
          <w:lang w:eastAsia="sk-SK"/>
        </w:rPr>
      </w:pPr>
      <w:r w:rsidRPr="008478B3">
        <w:rPr>
          <w:rFonts w:ascii="Calibri" w:eastAsia="Times New Roman" w:hAnsi="Calibri" w:cs="Calibri"/>
          <w:b/>
          <w:bCs/>
          <w:lang w:eastAsia="sk-SK"/>
        </w:rPr>
        <w:t>Rozpočet</w:t>
      </w:r>
      <w:r w:rsidRPr="00B31287">
        <w:rPr>
          <w:rFonts w:ascii="Calibri" w:eastAsia="Times New Roman" w:hAnsi="Calibri" w:cs="Calibri"/>
          <w:lang w:eastAsia="sk-SK"/>
        </w:rPr>
        <w:t xml:space="preserve"> - štruktúra a členenie rozpočtu na stavebné objekty a prevádzkové súbory podľa textovej časti projektovej dokumentácie.</w:t>
      </w:r>
    </w:p>
    <w:p w14:paraId="693CF226" w14:textId="77777777" w:rsidR="008478B3" w:rsidRPr="00B31287" w:rsidRDefault="008478B3" w:rsidP="00A74E75">
      <w:pPr>
        <w:jc w:val="both"/>
        <w:rPr>
          <w:rFonts w:ascii="Calibri" w:eastAsia="Times New Roman" w:hAnsi="Calibri" w:cs="Calibri"/>
          <w:lang w:eastAsia="sk-SK"/>
        </w:rPr>
      </w:pPr>
    </w:p>
    <w:p w14:paraId="5BE212BE" w14:textId="77777777" w:rsidR="00C72EFD" w:rsidRPr="00C72EFD" w:rsidRDefault="00C72EFD" w:rsidP="00C72EFD">
      <w:pPr>
        <w:jc w:val="both"/>
        <w:rPr>
          <w:rFonts w:ascii="Calibri" w:eastAsia="Times New Roman" w:hAnsi="Calibri" w:cs="Calibri"/>
          <w:lang w:eastAsia="sk-SK"/>
        </w:rPr>
      </w:pPr>
      <w:r w:rsidRPr="00C72EFD">
        <w:rPr>
          <w:rFonts w:ascii="Calibri" w:eastAsia="Times New Roman" w:hAnsi="Calibri" w:cs="Calibri"/>
          <w:lang w:eastAsia="sk-SK"/>
        </w:rPr>
        <w:t xml:space="preserve">Projektová dokumentácia musí byť vyhotovená oprávnenou osobou – technická správa a výkresová časť, rozpočet - autorizovaným stavebným inžinierom. </w:t>
      </w:r>
    </w:p>
    <w:p w14:paraId="64017352" w14:textId="0AF5E123" w:rsidR="008478B3" w:rsidRDefault="00C72EFD" w:rsidP="00C72EFD">
      <w:pPr>
        <w:jc w:val="both"/>
        <w:rPr>
          <w:rFonts w:ascii="Calibri" w:eastAsia="Times New Roman" w:hAnsi="Calibri" w:cs="Calibri"/>
          <w:lang w:eastAsia="sk-SK"/>
        </w:rPr>
      </w:pPr>
      <w:r w:rsidRPr="00C72EFD">
        <w:rPr>
          <w:rFonts w:ascii="Calibri" w:eastAsia="Times New Roman" w:hAnsi="Calibri" w:cs="Calibri"/>
          <w:lang w:eastAsia="sk-SK"/>
        </w:rPr>
        <w:t xml:space="preserve">Spoločnosť/ rozpočtár, ktorý vyhotoví rozpočtu musí rozpočet podpísať, ako odborne spôsobilá osoba. Odbornú spôsobilosť preukáže osvedčením o absolvovaní akreditovaného vzdelávacieho, certifikátom  o odbornom vzdelaní, členstvom v Asociácií Stavebných </w:t>
      </w:r>
      <w:proofErr w:type="spellStart"/>
      <w:r w:rsidRPr="00C72EFD">
        <w:rPr>
          <w:rFonts w:ascii="Calibri" w:eastAsia="Times New Roman" w:hAnsi="Calibri" w:cs="Calibri"/>
          <w:lang w:eastAsia="sk-SK"/>
        </w:rPr>
        <w:t>Cenárov</w:t>
      </w:r>
      <w:proofErr w:type="spellEnd"/>
      <w:r w:rsidRPr="00C72EFD">
        <w:rPr>
          <w:rFonts w:ascii="Calibri" w:eastAsia="Times New Roman" w:hAnsi="Calibri" w:cs="Calibri"/>
          <w:lang w:eastAsia="sk-SK"/>
        </w:rPr>
        <w:t>, prípadne iným príslušným odborným vzdelaním. Za odborne spôsobilú osobu v tomto prípade považujeme aj projektanta zapísaného v Slovenskej komore stavebných inžinierov. Vypracovanie rozpočtu môže byť podpísaný aj spoločnosťou, ktorá má v predmete podnikania zapísanú činnosť súvisiacu s projektovou činnosť v investičnej výstavbe, architektonická a inžinierska činnosť v investičnej výstavbe, poradenské služby v oblasti projektovania a realizácie stavebníctva, inžinierske činnosti a súvisiace technické poradenstvo, prípadne iný obdobný súvisiaci predmet podnikania.</w:t>
      </w:r>
    </w:p>
    <w:p w14:paraId="5F19D182" w14:textId="77777777" w:rsidR="00C7758C" w:rsidRPr="00B31287" w:rsidRDefault="00C7758C" w:rsidP="00C7758C">
      <w:pPr>
        <w:jc w:val="both"/>
        <w:rPr>
          <w:rFonts w:ascii="Calibri" w:eastAsia="Times New Roman" w:hAnsi="Calibri" w:cs="Calibri"/>
          <w:lang w:eastAsia="sk-SK"/>
        </w:rPr>
      </w:pPr>
      <w:r>
        <w:rPr>
          <w:rFonts w:ascii="Calibri" w:eastAsia="Times New Roman" w:hAnsi="Calibri" w:cs="Calibri"/>
          <w:lang w:eastAsia="sk-SK"/>
        </w:rPr>
        <w:t>A</w:t>
      </w:r>
      <w:r w:rsidRPr="00602147">
        <w:rPr>
          <w:rFonts w:ascii="Calibri" w:eastAsia="Times New Roman" w:hAnsi="Calibri" w:cs="Calibri"/>
          <w:lang w:eastAsia="sk-SK"/>
        </w:rPr>
        <w:t xml:space="preserve">kékoľvek plnenie poskytované v zmysle výzvy a </w:t>
      </w:r>
      <w:r w:rsidRPr="009630E9">
        <w:rPr>
          <w:rFonts w:ascii="Calibri" w:eastAsia="Times New Roman" w:hAnsi="Calibri" w:cs="Calibri"/>
          <w:lang w:eastAsia="sk-SK"/>
        </w:rPr>
        <w:t>Všeobecné zmluvné podmienky (ďalej len “VZP“)</w:t>
      </w:r>
      <w:r w:rsidRPr="00602147">
        <w:rPr>
          <w:rFonts w:ascii="Calibri" w:eastAsia="Times New Roman" w:hAnsi="Calibri" w:cs="Calibri"/>
          <w:lang w:eastAsia="sk-SK"/>
        </w:rPr>
        <w:t xml:space="preserve"> spĺňa náležitosti autorského diela podľa zákona č. 185/2015 Z. z. Autorský zákon v znení neskorších predpisov (ďalej len „autorský zákon“), zhotoviteľ udeľuje dňom prevzatia diela alebo jeho časti objednávateľovi súhlas na používanie diela v súlade s týmto odsekom zmluvy. Objednávateľ je oprávnený dielo voľne používať podľa vlastného uváženia, t. j. najmä dielo rozmnožovať, spracúvať, modifikovať, spájať, upravovať, opravovať, zverejňovať, publikovať a to sám alebo tiež prostredníctvom akýchkoľvek tretích osôb v akomkoľvek rozsahu. Zhotoviteľ udeľuje týmto objednávateľovi licenciu na dielo v neobmedzenom vecnom rozsahu, v neobmedzenom územnom rozsahu a v časovom rozsahu na dobu trvania majetkových práv k dielu podľa § 32 zákona č. 185/2015 Z. z.. Autorský zákon v znení neskorších predpisov. Táto licencia je udelená ako výhradná, pričom zmluvné strany sa dohodli, že objednávateľ nie je povinný udelenú licenciu využiť. Zhotoviteľ zároveň udeľuje dňom prevzatia autorského diela objednávateľovi súhlas na postúpenie licencie a súhlasu, aby objednávateľ udelil tretej osobe súhlas na použitie diela (sublicencia) v rozsahu udelenej licencie.</w:t>
      </w:r>
    </w:p>
    <w:p w14:paraId="72DB38AA" w14:textId="77777777" w:rsidR="00C7758C" w:rsidRDefault="00C7758C" w:rsidP="00C72EFD">
      <w:pPr>
        <w:jc w:val="both"/>
        <w:rPr>
          <w:rFonts w:ascii="Calibri" w:eastAsia="Times New Roman" w:hAnsi="Calibri" w:cs="Calibri"/>
          <w:lang w:eastAsia="sk-SK"/>
        </w:rPr>
      </w:pPr>
    </w:p>
    <w:p w14:paraId="26B1F9FE" w14:textId="77777777" w:rsidR="008478B3" w:rsidRPr="008478B3" w:rsidRDefault="008478B3" w:rsidP="00A74E75">
      <w:pPr>
        <w:jc w:val="both"/>
        <w:rPr>
          <w:rFonts w:ascii="Calibri" w:eastAsia="Times New Roman" w:hAnsi="Calibri" w:cs="Calibri"/>
          <w:b/>
          <w:bCs/>
          <w:u w:val="single"/>
          <w:lang w:eastAsia="sk-SK"/>
        </w:rPr>
      </w:pPr>
      <w:r w:rsidRPr="008478B3">
        <w:rPr>
          <w:rFonts w:ascii="Calibri" w:eastAsia="Times New Roman" w:hAnsi="Calibri" w:cs="Calibri"/>
          <w:b/>
          <w:bCs/>
          <w:u w:val="single"/>
          <w:lang w:eastAsia="sk-SK"/>
        </w:rPr>
        <w:lastRenderedPageBreak/>
        <w:t>Forma odovzdania projektovej dokumentácie:</w:t>
      </w:r>
    </w:p>
    <w:p w14:paraId="277A0A4F" w14:textId="77777777" w:rsidR="00657C3F" w:rsidRPr="00297ED8" w:rsidRDefault="00657C3F" w:rsidP="00657C3F">
      <w:pPr>
        <w:pStyle w:val="Odsekzoznamu"/>
        <w:numPr>
          <w:ilvl w:val="0"/>
          <w:numId w:val="7"/>
        </w:numPr>
        <w:jc w:val="both"/>
        <w:rPr>
          <w:rFonts w:ascii="Calibri" w:eastAsia="Times New Roman" w:hAnsi="Calibri" w:cs="Calibri"/>
          <w:lang w:eastAsia="sk-SK"/>
        </w:rPr>
      </w:pPr>
      <w:r w:rsidRPr="00297ED8">
        <w:rPr>
          <w:rFonts w:ascii="Calibri" w:eastAsia="Times New Roman" w:hAnsi="Calibri" w:cs="Calibri"/>
          <w:lang w:eastAsia="sk-SK"/>
        </w:rPr>
        <w:t>Projektový zámer a rozpočet  – zhotoviteľ sa zaväzuje dielo objednávateľovi odovzdať v troch (3) vyhotoveniach v listinnej forme a v jednom (1) vyhotoveniach v elektronickej (digitálnej) forme [(*.</w:t>
      </w:r>
      <w:proofErr w:type="spellStart"/>
      <w:r w:rsidRPr="00297ED8">
        <w:rPr>
          <w:rFonts w:ascii="Calibri" w:eastAsia="Times New Roman" w:hAnsi="Calibri" w:cs="Calibri"/>
          <w:lang w:eastAsia="sk-SK"/>
        </w:rPr>
        <w:t>doc</w:t>
      </w:r>
      <w:proofErr w:type="spellEnd"/>
      <w:r w:rsidRPr="00297ED8">
        <w:rPr>
          <w:rFonts w:ascii="Calibri" w:eastAsia="Times New Roman" w:hAnsi="Calibri" w:cs="Calibri"/>
          <w:lang w:eastAsia="sk-SK"/>
        </w:rPr>
        <w:t>, *.</w:t>
      </w:r>
      <w:proofErr w:type="spellStart"/>
      <w:r w:rsidRPr="00297ED8">
        <w:rPr>
          <w:rFonts w:ascii="Calibri" w:eastAsia="Times New Roman" w:hAnsi="Calibri" w:cs="Calibri"/>
          <w:lang w:eastAsia="sk-SK"/>
        </w:rPr>
        <w:t>xls</w:t>
      </w:r>
      <w:proofErr w:type="spellEnd"/>
      <w:r w:rsidRPr="00297ED8">
        <w:rPr>
          <w:rFonts w:ascii="Calibri" w:eastAsia="Times New Roman" w:hAnsi="Calibri" w:cs="Calibri"/>
          <w:lang w:eastAsia="sk-SK"/>
        </w:rPr>
        <w:t>, *.</w:t>
      </w:r>
      <w:proofErr w:type="spellStart"/>
      <w:r w:rsidRPr="00297ED8">
        <w:rPr>
          <w:rFonts w:ascii="Calibri" w:eastAsia="Times New Roman" w:hAnsi="Calibri" w:cs="Calibri"/>
          <w:lang w:eastAsia="sk-SK"/>
        </w:rPr>
        <w:t>pdf</w:t>
      </w:r>
      <w:proofErr w:type="spellEnd"/>
      <w:r w:rsidRPr="00297ED8">
        <w:rPr>
          <w:rFonts w:ascii="Calibri" w:eastAsia="Times New Roman" w:hAnsi="Calibri" w:cs="Calibri"/>
          <w:lang w:eastAsia="sk-SK"/>
        </w:rPr>
        <w:t xml:space="preserve"> - textová časť), (*.</w:t>
      </w:r>
      <w:proofErr w:type="spellStart"/>
      <w:r w:rsidRPr="00297ED8">
        <w:rPr>
          <w:rFonts w:ascii="Calibri" w:eastAsia="Times New Roman" w:hAnsi="Calibri" w:cs="Calibri"/>
          <w:lang w:eastAsia="sk-SK"/>
        </w:rPr>
        <w:t>dwg</w:t>
      </w:r>
      <w:proofErr w:type="spellEnd"/>
      <w:r w:rsidRPr="00297ED8">
        <w:rPr>
          <w:rFonts w:ascii="Calibri" w:eastAsia="Times New Roman" w:hAnsi="Calibri" w:cs="Calibri"/>
          <w:lang w:eastAsia="sk-SK"/>
        </w:rPr>
        <w:t>, *.</w:t>
      </w:r>
      <w:proofErr w:type="spellStart"/>
      <w:r w:rsidRPr="00297ED8">
        <w:rPr>
          <w:rFonts w:ascii="Calibri" w:eastAsia="Times New Roman" w:hAnsi="Calibri" w:cs="Calibri"/>
          <w:lang w:eastAsia="sk-SK"/>
        </w:rPr>
        <w:t>pdf</w:t>
      </w:r>
      <w:proofErr w:type="spellEnd"/>
      <w:r w:rsidRPr="00297ED8">
        <w:rPr>
          <w:rFonts w:ascii="Calibri" w:eastAsia="Times New Roman" w:hAnsi="Calibri" w:cs="Calibri"/>
          <w:lang w:eastAsia="sk-SK"/>
        </w:rPr>
        <w:t xml:space="preserve"> –výkresová časť)] na USB kľúči / </w:t>
      </w:r>
      <w:proofErr w:type="spellStart"/>
      <w:r w:rsidRPr="00297ED8">
        <w:rPr>
          <w:rFonts w:ascii="Calibri" w:eastAsia="Times New Roman" w:hAnsi="Calibri" w:cs="Calibri"/>
          <w:lang w:eastAsia="sk-SK"/>
        </w:rPr>
        <w:t>One</w:t>
      </w:r>
      <w:proofErr w:type="spellEnd"/>
      <w:r w:rsidRPr="00297ED8">
        <w:rPr>
          <w:rFonts w:ascii="Calibri" w:eastAsia="Times New Roman" w:hAnsi="Calibri" w:cs="Calibri"/>
          <w:lang w:eastAsia="sk-SK"/>
        </w:rPr>
        <w:t xml:space="preserve"> </w:t>
      </w:r>
      <w:proofErr w:type="spellStart"/>
      <w:r w:rsidRPr="00297ED8">
        <w:rPr>
          <w:rFonts w:ascii="Calibri" w:eastAsia="Times New Roman" w:hAnsi="Calibri" w:cs="Calibri"/>
          <w:lang w:eastAsia="sk-SK"/>
        </w:rPr>
        <w:t>drive</w:t>
      </w:r>
      <w:proofErr w:type="spellEnd"/>
      <w:r w:rsidRPr="00297ED8">
        <w:rPr>
          <w:rFonts w:ascii="Calibri" w:eastAsia="Times New Roman" w:hAnsi="Calibri" w:cs="Calibri"/>
          <w:lang w:eastAsia="sk-SK"/>
        </w:rPr>
        <w:t>,</w:t>
      </w:r>
    </w:p>
    <w:p w14:paraId="0FEA49A0" w14:textId="77777777" w:rsidR="00657C3F" w:rsidRPr="00297ED8" w:rsidRDefault="00657C3F" w:rsidP="00657C3F">
      <w:pPr>
        <w:pStyle w:val="Odsekzoznamu"/>
        <w:numPr>
          <w:ilvl w:val="0"/>
          <w:numId w:val="7"/>
        </w:numPr>
        <w:jc w:val="both"/>
        <w:rPr>
          <w:rFonts w:ascii="Calibri" w:eastAsia="Times New Roman" w:hAnsi="Calibri" w:cs="Calibri"/>
          <w:lang w:eastAsia="sk-SK"/>
        </w:rPr>
      </w:pPr>
      <w:r w:rsidRPr="00297ED8">
        <w:rPr>
          <w:rFonts w:ascii="Calibri" w:eastAsia="Times New Roman" w:hAnsi="Calibri" w:cs="Calibri"/>
          <w:lang w:eastAsia="sk-SK"/>
        </w:rPr>
        <w:t>Dokumentácia musí byť vyhotovená v slovenskom jazyku, prípadne v českom jazyku</w:t>
      </w:r>
      <w:r>
        <w:rPr>
          <w:rFonts w:ascii="Calibri" w:eastAsia="Times New Roman" w:hAnsi="Calibri" w:cs="Calibri"/>
          <w:lang w:eastAsia="sk-SK"/>
        </w:rPr>
        <w:t>,</w:t>
      </w:r>
    </w:p>
    <w:p w14:paraId="2A173932" w14:textId="77777777" w:rsidR="00657C3F" w:rsidRPr="00297ED8" w:rsidRDefault="00657C3F" w:rsidP="00657C3F">
      <w:pPr>
        <w:pStyle w:val="Odsekzoznamu"/>
        <w:numPr>
          <w:ilvl w:val="0"/>
          <w:numId w:val="7"/>
        </w:numPr>
        <w:jc w:val="both"/>
        <w:rPr>
          <w:rFonts w:ascii="Calibri" w:eastAsia="Times New Roman" w:hAnsi="Calibri" w:cs="Calibri"/>
          <w:lang w:eastAsia="sk-SK"/>
        </w:rPr>
      </w:pPr>
      <w:r>
        <w:rPr>
          <w:rFonts w:ascii="Calibri" w:eastAsia="Times New Roman" w:hAnsi="Calibri" w:cs="Calibri"/>
          <w:lang w:eastAsia="sk-SK"/>
        </w:rPr>
        <w:t>O</w:t>
      </w:r>
      <w:r w:rsidRPr="00297ED8">
        <w:rPr>
          <w:rFonts w:ascii="Calibri" w:eastAsia="Times New Roman" w:hAnsi="Calibri" w:cs="Calibri"/>
          <w:lang w:eastAsia="sk-SK"/>
        </w:rPr>
        <w:t>značovanie jednotiek v akýchkoľvek dokumentoch, výkresoch a schémach tvoriacich dokumentáciu musí byť v metrickej sústave (SI)</w:t>
      </w:r>
      <w:r>
        <w:rPr>
          <w:rFonts w:ascii="Calibri" w:eastAsia="Times New Roman" w:hAnsi="Calibri" w:cs="Calibri"/>
          <w:lang w:eastAsia="sk-SK"/>
        </w:rPr>
        <w:t>.</w:t>
      </w:r>
    </w:p>
    <w:p w14:paraId="29C3D250" w14:textId="4FA2BADA" w:rsidR="008478B3" w:rsidRPr="008478B3" w:rsidRDefault="008478B3" w:rsidP="00A74E75">
      <w:pPr>
        <w:jc w:val="both"/>
        <w:rPr>
          <w:rFonts w:ascii="Calibri" w:eastAsia="Times New Roman" w:hAnsi="Calibri" w:cs="Calibri"/>
          <w:b/>
          <w:bCs/>
          <w:u w:val="single"/>
          <w:lang w:eastAsia="sk-SK"/>
        </w:rPr>
      </w:pPr>
      <w:r w:rsidRPr="008478B3">
        <w:rPr>
          <w:rFonts w:ascii="Calibri" w:eastAsia="Times New Roman" w:hAnsi="Calibri" w:cs="Calibri"/>
          <w:b/>
          <w:bCs/>
          <w:u w:val="single"/>
          <w:lang w:eastAsia="sk-SK"/>
        </w:rPr>
        <w:t>Termíny dodania:</w:t>
      </w:r>
    </w:p>
    <w:p w14:paraId="1799B7E6" w14:textId="77777777" w:rsidR="00CB357F" w:rsidRPr="00B31287" w:rsidRDefault="00CB357F" w:rsidP="00CB357F">
      <w:pPr>
        <w:jc w:val="both"/>
        <w:rPr>
          <w:rFonts w:ascii="Calibri" w:eastAsia="Times New Roman" w:hAnsi="Calibri" w:cs="Calibri"/>
          <w:lang w:eastAsia="sk-SK"/>
        </w:rPr>
      </w:pPr>
      <w:r w:rsidRPr="00F105CD">
        <w:rPr>
          <w:rFonts w:ascii="Calibri" w:eastAsia="Times New Roman" w:hAnsi="Calibri" w:cs="Calibri"/>
          <w:lang w:eastAsia="sk-SK"/>
        </w:rPr>
        <w:t>Zhotoviteľ je povinný odovzdať projektovú dokumentáci</w:t>
      </w:r>
      <w:r>
        <w:rPr>
          <w:rFonts w:ascii="Calibri" w:eastAsia="Times New Roman" w:hAnsi="Calibri" w:cs="Calibri"/>
          <w:lang w:eastAsia="sk-SK"/>
        </w:rPr>
        <w:t>u</w:t>
      </w:r>
      <w:r w:rsidRPr="00F105CD">
        <w:rPr>
          <w:rFonts w:ascii="Calibri" w:eastAsia="Times New Roman" w:hAnsi="Calibri" w:cs="Calibri"/>
          <w:lang w:eastAsia="sk-SK"/>
        </w:rPr>
        <w:t xml:space="preserve"> v rozsahu podľa tejto technickej špecifikácie do </w:t>
      </w:r>
      <w:r w:rsidRPr="00297ED8">
        <w:rPr>
          <w:rFonts w:ascii="Calibri" w:eastAsia="Times New Roman" w:hAnsi="Calibri" w:cs="Calibri"/>
          <w:b/>
          <w:bCs/>
          <w:lang w:eastAsia="sk-SK"/>
        </w:rPr>
        <w:t>19.5.2026</w:t>
      </w:r>
      <w:r>
        <w:rPr>
          <w:rFonts w:ascii="Calibri" w:eastAsia="Times New Roman" w:hAnsi="Calibri" w:cs="Calibri"/>
          <w:lang w:eastAsia="sk-SK"/>
        </w:rPr>
        <w:t>.</w:t>
      </w:r>
    </w:p>
    <w:p w14:paraId="586819C8" w14:textId="2FA63DB3" w:rsidR="008478B3" w:rsidRPr="00B31287" w:rsidRDefault="008478B3" w:rsidP="00A74E75">
      <w:pPr>
        <w:jc w:val="both"/>
        <w:rPr>
          <w:rFonts w:ascii="Calibri" w:eastAsia="Times New Roman" w:hAnsi="Calibri" w:cs="Calibri"/>
          <w:lang w:eastAsia="sk-SK"/>
        </w:rPr>
      </w:pPr>
    </w:p>
    <w:p w14:paraId="19BDD70A" w14:textId="57259564" w:rsidR="008478B3" w:rsidRPr="008478B3" w:rsidRDefault="008478B3" w:rsidP="00A74E75">
      <w:pPr>
        <w:jc w:val="both"/>
        <w:rPr>
          <w:b/>
          <w:bCs/>
          <w:u w:val="single"/>
        </w:rPr>
      </w:pPr>
      <w:r w:rsidRPr="008478B3">
        <w:rPr>
          <w:b/>
          <w:bCs/>
          <w:u w:val="single"/>
        </w:rPr>
        <w:t>Platobné podmienky:</w:t>
      </w:r>
    </w:p>
    <w:p w14:paraId="20DE8B67" w14:textId="77777777" w:rsidR="007376B4" w:rsidRPr="008478B3" w:rsidRDefault="007376B4" w:rsidP="007376B4">
      <w:pPr>
        <w:jc w:val="both"/>
      </w:pPr>
      <w:r w:rsidRPr="008478B3">
        <w:t>Dielo bude odovzdané ako jeden celok</w:t>
      </w:r>
      <w:r>
        <w:t xml:space="preserve">. </w:t>
      </w:r>
      <w:r w:rsidRPr="00DC314D">
        <w:t xml:space="preserve">Zhotoviteľ je oprávnený fakturovať cenu za </w:t>
      </w:r>
      <w:r>
        <w:t xml:space="preserve">dielo </w:t>
      </w:r>
      <w:r w:rsidRPr="00DC314D">
        <w:t xml:space="preserve">až po jeho odovzdaní so splatnosťou faktúry </w:t>
      </w:r>
      <w:r>
        <w:t>3</w:t>
      </w:r>
      <w:r w:rsidRPr="00DC314D">
        <w:t>0 dní.</w:t>
      </w:r>
      <w:r w:rsidRPr="008478B3">
        <w:t xml:space="preserve"> </w:t>
      </w:r>
    </w:p>
    <w:p w14:paraId="340F2958" w14:textId="77777777" w:rsidR="007376B4" w:rsidRDefault="007376B4" w:rsidP="00A74E75">
      <w:pPr>
        <w:jc w:val="both"/>
        <w:rPr>
          <w:b/>
          <w:bCs/>
          <w:u w:val="single"/>
        </w:rPr>
      </w:pPr>
    </w:p>
    <w:p w14:paraId="15CDF796" w14:textId="298A2737" w:rsidR="008478B3" w:rsidRPr="008D5B75" w:rsidRDefault="008478B3" w:rsidP="00A74E75">
      <w:pPr>
        <w:jc w:val="both"/>
        <w:rPr>
          <w:b/>
          <w:bCs/>
          <w:u w:val="single"/>
        </w:rPr>
      </w:pPr>
      <w:r w:rsidRPr="008D5B75">
        <w:rPr>
          <w:b/>
          <w:bCs/>
          <w:u w:val="single"/>
        </w:rPr>
        <w:t>Vecný popis prác:</w:t>
      </w:r>
    </w:p>
    <w:p w14:paraId="199E50E0" w14:textId="0F0DA69F" w:rsidR="005426FE" w:rsidRPr="008D5B75" w:rsidRDefault="0008095F" w:rsidP="00A74E75">
      <w:pPr>
        <w:jc w:val="both"/>
      </w:pPr>
      <w:r w:rsidRPr="008D5B75">
        <w:t>Potrubná časť:</w:t>
      </w:r>
    </w:p>
    <w:p w14:paraId="5D8DA2A5" w14:textId="05ABB320" w:rsidR="0008095F" w:rsidRDefault="0008095F" w:rsidP="00A74E75">
      <w:pPr>
        <w:jc w:val="both"/>
      </w:pPr>
      <w:r w:rsidRPr="008D5B75">
        <w:t>Požadujeme navrhnúť výmenu potrubného systému s</w:t>
      </w:r>
      <w:r w:rsidR="0064477F" w:rsidRPr="008D5B75">
        <w:t>o zachovaním</w:t>
      </w:r>
      <w:r w:rsidRPr="008D5B75">
        <w:t> aktuáln</w:t>
      </w:r>
      <w:r w:rsidR="0064477F" w:rsidRPr="008D5B75">
        <w:t>ej</w:t>
      </w:r>
      <w:r w:rsidRPr="008D5B75">
        <w:t xml:space="preserve"> dimenzi</w:t>
      </w:r>
      <w:r w:rsidR="0064477F" w:rsidRPr="008D5B75">
        <w:t>e</w:t>
      </w:r>
      <w:r w:rsidRPr="008D5B75">
        <w:t xml:space="preserve"> DN</w:t>
      </w:r>
      <w:r w:rsidR="008D5B75" w:rsidRPr="008D5B75">
        <w:t>3</w:t>
      </w:r>
      <w:r w:rsidR="008478B3" w:rsidRPr="008D5B75">
        <w:t>00</w:t>
      </w:r>
      <w:r w:rsidRPr="008D5B75">
        <w:t xml:space="preserve"> za nový potrubný systém s lepšími tepelno-technickými vlastnosťami </w:t>
      </w:r>
      <w:proofErr w:type="spellStart"/>
      <w:r w:rsidRPr="008D5B75">
        <w:t>tz</w:t>
      </w:r>
      <w:proofErr w:type="spellEnd"/>
      <w:r w:rsidRPr="008D5B75">
        <w:t xml:space="preserve">. použitie </w:t>
      </w:r>
      <w:proofErr w:type="spellStart"/>
      <w:r w:rsidRPr="008D5B75">
        <w:t>predizolovaného</w:t>
      </w:r>
      <w:proofErr w:type="spellEnd"/>
      <w:r w:rsidRPr="008D5B75">
        <w:t xml:space="preserve"> potrubia. Požadujeme:</w:t>
      </w:r>
    </w:p>
    <w:p w14:paraId="2D44EC05" w14:textId="73A31B8B" w:rsidR="0008095F" w:rsidRDefault="0064477F" w:rsidP="00A74E75">
      <w:pPr>
        <w:pStyle w:val="Odsekzoznamu"/>
        <w:numPr>
          <w:ilvl w:val="0"/>
          <w:numId w:val="1"/>
        </w:numPr>
        <w:jc w:val="both"/>
      </w:pPr>
      <w:r>
        <w:t>p</w:t>
      </w:r>
      <w:r w:rsidR="0008095F">
        <w:t>rívodné potrubie navrhnúť s vyššou triedou hrúbky izolácie, vrátne potrubie je možné zachovať so štandardou hrúbkou,</w:t>
      </w:r>
    </w:p>
    <w:p w14:paraId="4C634C49" w14:textId="3C7D15C3" w:rsidR="0008095F" w:rsidRDefault="0008095F" w:rsidP="00A74E75">
      <w:pPr>
        <w:pStyle w:val="Odsekzoznamu"/>
        <w:numPr>
          <w:ilvl w:val="0"/>
          <w:numId w:val="1"/>
        </w:numPr>
        <w:jc w:val="both"/>
      </w:pPr>
      <w:r>
        <w:t>uvažovať s</w:t>
      </w:r>
      <w:r w:rsidR="0064477F">
        <w:t> </w:t>
      </w:r>
      <w:r>
        <w:t>montážou</w:t>
      </w:r>
      <w:r w:rsidR="0064477F">
        <w:t xml:space="preserve"> potrubia</w:t>
      </w:r>
      <w:r>
        <w:t xml:space="preserve"> za studena a zachovan</w:t>
      </w:r>
      <w:r w:rsidR="0064477F">
        <w:t>ím</w:t>
      </w:r>
      <w:r>
        <w:t xml:space="preserve"> potrubnej trasy,</w:t>
      </w:r>
    </w:p>
    <w:p w14:paraId="6ECDF486" w14:textId="4D9F21F4" w:rsidR="0008095F" w:rsidRDefault="0008095F" w:rsidP="00A74E75">
      <w:pPr>
        <w:jc w:val="both"/>
      </w:pPr>
      <w:r>
        <w:t>Stavebná časť:</w:t>
      </w:r>
    </w:p>
    <w:p w14:paraId="1A6A6EEB" w14:textId="77777777" w:rsidR="0008095F" w:rsidRDefault="0008095F" w:rsidP="00A74E75">
      <w:pPr>
        <w:jc w:val="both"/>
      </w:pPr>
      <w:r>
        <w:t xml:space="preserve">Pri návrhu je potrebné uvažovať so všetkými stavebnými prácami pre účely demontáže a montáže potrubia </w:t>
      </w:r>
      <w:proofErr w:type="spellStart"/>
      <w:r>
        <w:t>tj</w:t>
      </w:r>
      <w:proofErr w:type="spellEnd"/>
      <w:r>
        <w:t>. návrh bezpečnostno-technických opatrení vyplývajúcich zo zabezpečenia staveniska pri výstavbe, odstránenie spevnených a nespevnených plôch, výkopové práce, zásypy a obnova spevnených a nespevnených plôch.</w:t>
      </w:r>
    </w:p>
    <w:p w14:paraId="4674BEAF" w14:textId="77777777" w:rsidR="005A7477" w:rsidRPr="005A7477" w:rsidRDefault="005A7477" w:rsidP="005A7477">
      <w:pPr>
        <w:jc w:val="both"/>
        <w:rPr>
          <w:b/>
          <w:bCs/>
        </w:rPr>
      </w:pPr>
      <w:r w:rsidRPr="005A7477">
        <w:rPr>
          <w:b/>
          <w:bCs/>
        </w:rPr>
        <w:t>Rozsah projektovej dokumentácie:</w:t>
      </w:r>
    </w:p>
    <w:p w14:paraId="07C40DBA" w14:textId="19DB5BAF" w:rsidR="005A7477" w:rsidRDefault="005A7477" w:rsidP="005A7477">
      <w:pPr>
        <w:jc w:val="both"/>
      </w:pPr>
      <w:r>
        <w:t xml:space="preserve">Trasa začína v šachte š.27010 za sekčnými guľovými kohútmi DN300. Pod komunikáciou </w:t>
      </w:r>
      <w:proofErr w:type="spellStart"/>
      <w:r>
        <w:t>Tr</w:t>
      </w:r>
      <w:proofErr w:type="spellEnd"/>
      <w:r>
        <w:t xml:space="preserve">. SNP vedie cca 58 m v </w:t>
      </w:r>
      <w:proofErr w:type="spellStart"/>
      <w:r>
        <w:t>priechodzom</w:t>
      </w:r>
      <w:proofErr w:type="spellEnd"/>
      <w:r>
        <w:t xml:space="preserve"> kanáli. Potom sa lomí doľava k Bardejovskej ulici a pred chodníkom zase doprava. Následne vedie paralelne s Bardejovskou ulicou čiastočne v zeleni a čiastočne v chodníku, vedie v komunikácii na Humenskej ulici v </w:t>
      </w:r>
      <w:proofErr w:type="spellStart"/>
      <w:r>
        <w:t>neprieleznom</w:t>
      </w:r>
      <w:proofErr w:type="spellEnd"/>
      <w:r>
        <w:t xml:space="preserve"> kanáli a pokračuje popri ceste, cez parkovisko až do šachty š.27050, ktorá je pred Stavebným bytovým družstvom (SBD 2) na Bardejovskej ulici.</w:t>
      </w:r>
    </w:p>
    <w:p w14:paraId="074F5D5C" w14:textId="77777777" w:rsidR="005A7477" w:rsidRDefault="005A7477" w:rsidP="005A7477">
      <w:pPr>
        <w:jc w:val="both"/>
      </w:pPr>
      <w:r>
        <w:t>V trase je 7  kompenzátorov a päť šácht – 27020, 27025, 27030, 27040 a 27050.</w:t>
      </w:r>
    </w:p>
    <w:p w14:paraId="0ABD3C29" w14:textId="059AAB19" w:rsidR="005A7477" w:rsidRDefault="005A7477" w:rsidP="005A7477">
      <w:pPr>
        <w:jc w:val="both"/>
      </w:pPr>
      <w:r>
        <w:t xml:space="preserve">V šachtách š.27020 a 27030 </w:t>
      </w:r>
      <w:r w:rsidR="004A04F2">
        <w:t>sú</w:t>
      </w:r>
      <w:r>
        <w:t xml:space="preserve"> prírubové sekčné armatúry DN300, ktoré je potrebné zachovať a vzhľadom na zmenu uloženia potrubia je potrebné vymeniť</w:t>
      </w:r>
      <w:r w:rsidR="004A04F2">
        <w:t xml:space="preserve"> za nové </w:t>
      </w:r>
      <w:proofErr w:type="spellStart"/>
      <w:r w:rsidR="004A04F2">
        <w:t>a</w:t>
      </w:r>
      <w:r>
        <w:t>matúry</w:t>
      </w:r>
      <w:proofErr w:type="spellEnd"/>
      <w:r>
        <w:t>.</w:t>
      </w:r>
    </w:p>
    <w:p w14:paraId="18B9AB0B" w14:textId="77777777" w:rsidR="005A7477" w:rsidRDefault="005A7477" w:rsidP="005A7477">
      <w:pPr>
        <w:jc w:val="both"/>
      </w:pPr>
      <w:r>
        <w:lastRenderedPageBreak/>
        <w:t xml:space="preserve">Šachtu 27050 je potrebné navrhnúť, ako plne elektrizovanú vrátane osvetlenia, servisnej zásuvky, </w:t>
      </w:r>
      <w:proofErr w:type="spellStart"/>
      <w:r>
        <w:t>dialkového</w:t>
      </w:r>
      <w:proofErr w:type="spellEnd"/>
      <w:r>
        <w:t xml:space="preserve"> ovládania, sekčných armatúr, s podružným meraním. V tejto šachte bude potrebné určiť bod </w:t>
      </w:r>
      <w:proofErr w:type="spellStart"/>
      <w:r>
        <w:t>elekto</w:t>
      </w:r>
      <w:proofErr w:type="spellEnd"/>
      <w:r>
        <w:t xml:space="preserve"> napojenia na distribučnú sieť a umiestnenie miestnej skrine rozvádzača.</w:t>
      </w:r>
    </w:p>
    <w:p w14:paraId="25E376AD" w14:textId="77777777" w:rsidR="005A7477" w:rsidRDefault="005A7477" w:rsidP="005A7477">
      <w:pPr>
        <w:jc w:val="both"/>
      </w:pPr>
      <w:r>
        <w:t xml:space="preserve">Časť potrubia 27. etapy je uložená v </w:t>
      </w:r>
      <w:proofErr w:type="spellStart"/>
      <w:r>
        <w:t>priechodzom</w:t>
      </w:r>
      <w:proofErr w:type="spellEnd"/>
      <w:r>
        <w:t xml:space="preserve"> kanály (pod </w:t>
      </w:r>
      <w:proofErr w:type="spellStart"/>
      <w:r>
        <w:t>Tr</w:t>
      </w:r>
      <w:proofErr w:type="spellEnd"/>
      <w:r>
        <w:t xml:space="preserve">. SNP), časť v kanály klasického prevedenia vrátane kompenzátorov </w:t>
      </w:r>
      <w:proofErr w:type="spellStart"/>
      <w:r>
        <w:t>t.j</w:t>
      </w:r>
      <w:proofErr w:type="spellEnd"/>
      <w:r>
        <w:t xml:space="preserve">. v kanáli z „U“ prefabrikátov v ktorých sú uložené </w:t>
      </w:r>
      <w:proofErr w:type="spellStart"/>
      <w:r>
        <w:t>médionosné</w:t>
      </w:r>
      <w:proofErr w:type="spellEnd"/>
      <w:r>
        <w:t xml:space="preserve"> rúry a ktoré sú prekryté stropnými doskami a časť potrubia je uložená v kanály, ktorý je tvorený z obrátených „U“ prefabrikátov.</w:t>
      </w:r>
    </w:p>
    <w:p w14:paraId="224C8EBC" w14:textId="66EEFD85" w:rsidR="005A7477" w:rsidRDefault="005A7477" w:rsidP="005A7477">
      <w:pPr>
        <w:jc w:val="both"/>
      </w:pPr>
      <w:r>
        <w:t xml:space="preserve">Ako </w:t>
      </w:r>
      <w:proofErr w:type="spellStart"/>
      <w:r>
        <w:t>médionosná</w:t>
      </w:r>
      <w:proofErr w:type="spellEnd"/>
      <w:r>
        <w:t xml:space="preserve"> rúra v </w:t>
      </w:r>
      <w:proofErr w:type="spellStart"/>
      <w:r>
        <w:t>predizolovanom</w:t>
      </w:r>
      <w:proofErr w:type="spellEnd"/>
      <w:r>
        <w:t xml:space="preserve"> systéme sa použije oceľová rúra </w:t>
      </w:r>
      <w:proofErr w:type="spellStart"/>
      <w:r>
        <w:t>fi</w:t>
      </w:r>
      <w:proofErr w:type="spellEnd"/>
      <w:r>
        <w:t xml:space="preserve"> 324,0x7,5 mm materiálu P235GH izolovaná vhodnou hrúbkou i </w:t>
      </w:r>
      <w:proofErr w:type="spellStart"/>
      <w:r>
        <w:t>zolácie</w:t>
      </w:r>
      <w:proofErr w:type="spellEnd"/>
      <w:r>
        <w:t xml:space="preserve">. Pre prívodne potrubie je potrebné uvažovať s 2x zosilnenou izoláciou a vrátne potrubie so štandardnou hrúbkou izolácie. Orientačná dĺžka trasy rozvodu je </w:t>
      </w:r>
      <w:r w:rsidR="004A04F2">
        <w:t>555</w:t>
      </w:r>
      <w:r>
        <w:t xml:space="preserve"> metrov</w:t>
      </w:r>
      <w:r w:rsidR="004A04F2">
        <w:t xml:space="preserve"> rozvinutá dĺžka 633 metrov</w:t>
      </w:r>
      <w:r>
        <w:t>.</w:t>
      </w:r>
    </w:p>
    <w:p w14:paraId="5E6E7FC6" w14:textId="77777777" w:rsidR="004A04F2" w:rsidRDefault="004A04F2" w:rsidP="00A74E75">
      <w:pPr>
        <w:jc w:val="both"/>
      </w:pPr>
    </w:p>
    <w:p w14:paraId="391A68A0" w14:textId="7980D4BE" w:rsidR="0008095F" w:rsidRDefault="0008095F" w:rsidP="00A74E75">
      <w:pPr>
        <w:jc w:val="both"/>
      </w:pPr>
      <w:r>
        <w:t>V rámci rekonštrukcie požadujeme opravy šachty (v minimálnom rozsahu obnova stropnej dosky a stien šachty):</w:t>
      </w:r>
    </w:p>
    <w:p w14:paraId="5BA2406E" w14:textId="2886FC38" w:rsidR="00BC2379" w:rsidRDefault="00BC2379" w:rsidP="00A74E75">
      <w:pPr>
        <w:pStyle w:val="Odsekzoznamu"/>
        <w:numPr>
          <w:ilvl w:val="0"/>
          <w:numId w:val="5"/>
        </w:numPr>
        <w:jc w:val="both"/>
      </w:pPr>
      <w:r w:rsidRPr="00684482">
        <w:t>Š</w:t>
      </w:r>
      <w:r w:rsidR="008478B3" w:rsidRPr="00684482">
        <w:t xml:space="preserve">. </w:t>
      </w:r>
      <w:r w:rsidR="00684482" w:rsidRPr="00684482">
        <w:t>27010</w:t>
      </w:r>
      <w:r w:rsidRPr="00684482">
        <w:t xml:space="preserve"> – </w:t>
      </w:r>
      <w:r w:rsidR="00684482">
        <w:t>n</w:t>
      </w:r>
      <w:r w:rsidR="00684482" w:rsidRPr="00684482">
        <w:t>ie je potrebné stavebne riešiť,</w:t>
      </w:r>
      <w:r w:rsidR="00684482">
        <w:t xml:space="preserve"> len prechod po potrubí</w:t>
      </w:r>
      <w:r w:rsidRPr="00684482">
        <w:t>,</w:t>
      </w:r>
    </w:p>
    <w:p w14:paraId="653B83C5" w14:textId="1A0F1E27" w:rsidR="00684482" w:rsidRPr="00684482" w:rsidRDefault="00684482" w:rsidP="00A74E75">
      <w:pPr>
        <w:pStyle w:val="Odsekzoznamu"/>
        <w:numPr>
          <w:ilvl w:val="0"/>
          <w:numId w:val="5"/>
        </w:numPr>
        <w:jc w:val="both"/>
      </w:pPr>
      <w:r>
        <w:t xml:space="preserve">Prechod pod cestu Trieda SNP </w:t>
      </w:r>
      <w:r w:rsidRPr="00684482">
        <w:t>–</w:t>
      </w:r>
      <w:r>
        <w:t xml:space="preserve">  l</w:t>
      </w:r>
      <w:r w:rsidRPr="00684482">
        <w:t>okálna stavebná oprava</w:t>
      </w:r>
      <w:r>
        <w:t xml:space="preserve"> stien a stropu,</w:t>
      </w:r>
    </w:p>
    <w:p w14:paraId="7A8EA4B5" w14:textId="15BA0EBF" w:rsidR="00BC2379" w:rsidRDefault="00BC2379" w:rsidP="00A74E75">
      <w:pPr>
        <w:pStyle w:val="Odsekzoznamu"/>
        <w:numPr>
          <w:ilvl w:val="0"/>
          <w:numId w:val="5"/>
        </w:numPr>
        <w:jc w:val="both"/>
      </w:pPr>
      <w:r>
        <w:t>Š</w:t>
      </w:r>
      <w:r w:rsidR="008478B3">
        <w:t xml:space="preserve">. </w:t>
      </w:r>
      <w:r w:rsidR="00684482">
        <w:t>27020 –</w:t>
      </w:r>
      <w:r w:rsidR="00C1451C">
        <w:t xml:space="preserve"> </w:t>
      </w:r>
      <w:r w:rsidR="00684482">
        <w:t>n</w:t>
      </w:r>
      <w:r w:rsidR="00684482" w:rsidRPr="00684482">
        <w:t>ie je potrebné stavebne riešiť,</w:t>
      </w:r>
      <w:r w:rsidR="00684482">
        <w:t xml:space="preserve"> len prechod po potrubí</w:t>
      </w:r>
      <w:r>
        <w:t>,</w:t>
      </w:r>
    </w:p>
    <w:p w14:paraId="4D51B168" w14:textId="1DB0492B" w:rsidR="00BC2379" w:rsidRDefault="00BC2379" w:rsidP="00A74E75">
      <w:pPr>
        <w:pStyle w:val="Odsekzoznamu"/>
        <w:numPr>
          <w:ilvl w:val="0"/>
          <w:numId w:val="5"/>
        </w:numPr>
        <w:jc w:val="both"/>
      </w:pPr>
      <w:r>
        <w:t>Š</w:t>
      </w:r>
      <w:r w:rsidR="008478B3">
        <w:t xml:space="preserve">. </w:t>
      </w:r>
      <w:r w:rsidR="00684482">
        <w:t>27025</w:t>
      </w:r>
      <w:r w:rsidR="0064477F">
        <w:t xml:space="preserve"> </w:t>
      </w:r>
      <w:r w:rsidR="00684482">
        <w:t>–</w:t>
      </w:r>
      <w:r>
        <w:t xml:space="preserve"> </w:t>
      </w:r>
      <w:r w:rsidR="00FB511F">
        <w:t>l</w:t>
      </w:r>
      <w:r w:rsidR="00FB511F" w:rsidRPr="00684482">
        <w:t>okálna stavebná oprava</w:t>
      </w:r>
      <w:r w:rsidR="00FB511F">
        <w:t xml:space="preserve"> stien a stropu, </w:t>
      </w:r>
    </w:p>
    <w:p w14:paraId="520FD426" w14:textId="55F7C793" w:rsidR="00BC2379" w:rsidRDefault="00BC2379" w:rsidP="00A74E75">
      <w:pPr>
        <w:pStyle w:val="Odsekzoznamu"/>
        <w:numPr>
          <w:ilvl w:val="0"/>
          <w:numId w:val="5"/>
        </w:numPr>
        <w:jc w:val="both"/>
      </w:pPr>
      <w:r>
        <w:t>Š</w:t>
      </w:r>
      <w:r w:rsidR="008478B3">
        <w:t xml:space="preserve">. </w:t>
      </w:r>
      <w:r w:rsidR="00684482">
        <w:t>27030</w:t>
      </w:r>
      <w:r>
        <w:t xml:space="preserve"> – </w:t>
      </w:r>
      <w:r w:rsidR="00FB511F">
        <w:t>l</w:t>
      </w:r>
      <w:r w:rsidR="00FB511F" w:rsidRPr="00684482">
        <w:t>okálna stavebná oprava</w:t>
      </w:r>
      <w:r w:rsidR="00FB511F">
        <w:t xml:space="preserve"> stien a stropu,</w:t>
      </w:r>
    </w:p>
    <w:p w14:paraId="444A88D3" w14:textId="09C70C51" w:rsidR="00BC2379" w:rsidRDefault="00BC2379" w:rsidP="00A74E75">
      <w:pPr>
        <w:pStyle w:val="Odsekzoznamu"/>
        <w:numPr>
          <w:ilvl w:val="0"/>
          <w:numId w:val="5"/>
        </w:numPr>
        <w:jc w:val="both"/>
      </w:pPr>
      <w:r>
        <w:t>Š</w:t>
      </w:r>
      <w:r w:rsidR="008478B3">
        <w:t xml:space="preserve">. </w:t>
      </w:r>
      <w:r w:rsidR="00684482">
        <w:t>27040</w:t>
      </w:r>
      <w:r>
        <w:t xml:space="preserve"> </w:t>
      </w:r>
      <w:r w:rsidR="00684482">
        <w:t>–</w:t>
      </w:r>
      <w:r>
        <w:t xml:space="preserve"> </w:t>
      </w:r>
      <w:r w:rsidR="00FB511F">
        <w:t>l</w:t>
      </w:r>
      <w:r w:rsidR="00FB511F" w:rsidRPr="00684482">
        <w:t>okálna stavebná oprava</w:t>
      </w:r>
      <w:r w:rsidR="00FB511F">
        <w:t xml:space="preserve"> stien a stropu</w:t>
      </w:r>
      <w:r>
        <w:t xml:space="preserve">, </w:t>
      </w:r>
      <w:r w:rsidR="005A7477">
        <w:t>z vonkajšej strany preizolovať stropnú dosku,</w:t>
      </w:r>
    </w:p>
    <w:p w14:paraId="7A6FEA61" w14:textId="6DD22747" w:rsidR="00BC2379" w:rsidRDefault="00BC2379" w:rsidP="00A74E75">
      <w:pPr>
        <w:pStyle w:val="Odsekzoznamu"/>
        <w:numPr>
          <w:ilvl w:val="0"/>
          <w:numId w:val="5"/>
        </w:numPr>
        <w:jc w:val="both"/>
      </w:pPr>
      <w:r>
        <w:t>Š</w:t>
      </w:r>
      <w:r w:rsidR="008478B3">
        <w:t xml:space="preserve">. </w:t>
      </w:r>
      <w:r w:rsidR="00684482">
        <w:t>27050</w:t>
      </w:r>
      <w:r>
        <w:t xml:space="preserve"> – </w:t>
      </w:r>
      <w:r w:rsidR="005A7477">
        <w:t>l</w:t>
      </w:r>
      <w:r w:rsidR="005A7477" w:rsidRPr="00684482">
        <w:t>okálna stavebná oprava</w:t>
      </w:r>
      <w:r w:rsidR="005A7477">
        <w:t xml:space="preserve"> stien a stropu, z vonkajšej strany preizolovať stropnú dosku,</w:t>
      </w:r>
    </w:p>
    <w:p w14:paraId="29714B84" w14:textId="6749F984" w:rsidR="000A1CD8" w:rsidRDefault="000A1CD8" w:rsidP="000A1CD8">
      <w:pPr>
        <w:pStyle w:val="Popis"/>
        <w:keepNext/>
      </w:pPr>
      <w:r>
        <w:t xml:space="preserve">Obrázok </w:t>
      </w:r>
      <w:r>
        <w:fldChar w:fldCharType="begin"/>
      </w:r>
      <w:r>
        <w:instrText xml:space="preserve"> SEQ Obrázok \* ARABIC </w:instrText>
      </w:r>
      <w:r>
        <w:fldChar w:fldCharType="separate"/>
      </w:r>
      <w:r>
        <w:rPr>
          <w:noProof/>
        </w:rPr>
        <w:t>1</w:t>
      </w:r>
      <w:r>
        <w:fldChar w:fldCharType="end"/>
      </w:r>
      <w:r>
        <w:t xml:space="preserve"> </w:t>
      </w:r>
      <w:r w:rsidRPr="00483806">
        <w:t xml:space="preserve">Orientačný návrh situácie rekonštrukcie </w:t>
      </w:r>
      <w:r>
        <w:t>27</w:t>
      </w:r>
      <w:r w:rsidRPr="00483806">
        <w:t>.etapy</w:t>
      </w:r>
    </w:p>
    <w:p w14:paraId="5FCAD965" w14:textId="76E8F578" w:rsidR="00653BC0" w:rsidRDefault="005A7477" w:rsidP="00653BC0">
      <w:r w:rsidRPr="001E544E">
        <w:rPr>
          <w:rFonts w:ascii="Arial" w:hAnsi="Arial" w:cs="Arial"/>
          <w:noProof/>
        </w:rPr>
        <w:drawing>
          <wp:inline distT="0" distB="0" distL="0" distR="0" wp14:anchorId="621DEC16" wp14:editId="06414881">
            <wp:extent cx="4905375" cy="3679031"/>
            <wp:effectExtent l="0" t="0" r="0" b="0"/>
            <wp:docPr id="815921450" name="Obrázok 815921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909082" cy="3681811"/>
                    </a:xfrm>
                    <a:prstGeom prst="rect">
                      <a:avLst/>
                    </a:prstGeom>
                  </pic:spPr>
                </pic:pic>
              </a:graphicData>
            </a:graphic>
          </wp:inline>
        </w:drawing>
      </w:r>
    </w:p>
    <w:sectPr w:rsidR="00653BC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129F5" w14:textId="77777777" w:rsidR="00B65B01" w:rsidRDefault="00B65B01" w:rsidP="008478B3">
      <w:pPr>
        <w:spacing w:after="0" w:line="240" w:lineRule="auto"/>
      </w:pPr>
      <w:r>
        <w:separator/>
      </w:r>
    </w:p>
  </w:endnote>
  <w:endnote w:type="continuationSeparator" w:id="0">
    <w:p w14:paraId="21E3E1C5" w14:textId="77777777" w:rsidR="00B65B01" w:rsidRDefault="00B65B01" w:rsidP="00847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B1CD9" w14:textId="77777777" w:rsidR="00B65B01" w:rsidRDefault="00B65B01" w:rsidP="008478B3">
      <w:pPr>
        <w:spacing w:after="0" w:line="240" w:lineRule="auto"/>
      </w:pPr>
      <w:r>
        <w:separator/>
      </w:r>
    </w:p>
  </w:footnote>
  <w:footnote w:type="continuationSeparator" w:id="0">
    <w:p w14:paraId="26767BDB" w14:textId="77777777" w:rsidR="00B65B01" w:rsidRDefault="00B65B01" w:rsidP="00847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1B4F9" w14:textId="49EA9B37" w:rsidR="00D63590" w:rsidRPr="00D63590" w:rsidRDefault="00D63590" w:rsidP="00D63590">
    <w:pPr>
      <w:pStyle w:val="Hlavika"/>
    </w:pPr>
    <w:r w:rsidRPr="00D63590">
      <w:t xml:space="preserve">Príloha č. </w:t>
    </w:r>
    <w:r>
      <w:t>4</w:t>
    </w:r>
    <w:r w:rsidRPr="00D63590">
      <w:t xml:space="preserve"> Technická špecifikácia - Rekonštrukcia rozvodu </w:t>
    </w:r>
    <w:r>
      <w:t>27</w:t>
    </w:r>
    <w:r w:rsidRPr="00D63590">
      <w:t>. etapa</w:t>
    </w:r>
  </w:p>
  <w:p w14:paraId="581B77DE" w14:textId="4D1AA8FC" w:rsidR="008478B3" w:rsidRPr="00D63590" w:rsidRDefault="008478B3" w:rsidP="00D63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1371"/>
    <w:multiLevelType w:val="hybridMultilevel"/>
    <w:tmpl w:val="F7E6E0A8"/>
    <w:lvl w:ilvl="0" w:tplc="E8E4190A">
      <w:numFmt w:val="bullet"/>
      <w:lvlText w:val="•"/>
      <w:lvlJc w:val="left"/>
      <w:pPr>
        <w:ind w:left="1464" w:hanging="756"/>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 w15:restartNumberingAfterBreak="0">
    <w:nsid w:val="0AA176D9"/>
    <w:multiLevelType w:val="hybridMultilevel"/>
    <w:tmpl w:val="5D9491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41034C2"/>
    <w:multiLevelType w:val="hybridMultilevel"/>
    <w:tmpl w:val="67106D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5457CD0"/>
    <w:multiLevelType w:val="hybridMultilevel"/>
    <w:tmpl w:val="0A4078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5607DC3"/>
    <w:multiLevelType w:val="hybridMultilevel"/>
    <w:tmpl w:val="FED244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9DB4EAB"/>
    <w:multiLevelType w:val="hybridMultilevel"/>
    <w:tmpl w:val="A2CAAB8A"/>
    <w:lvl w:ilvl="0" w:tplc="06CC35EA">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04B4C6A"/>
    <w:multiLevelType w:val="hybridMultilevel"/>
    <w:tmpl w:val="7E4ED608"/>
    <w:lvl w:ilvl="0" w:tplc="6C321296">
      <w:numFmt w:val="bullet"/>
      <w:lvlText w:val="•"/>
      <w:lvlJc w:val="left"/>
      <w:pPr>
        <w:ind w:left="1068" w:hanging="708"/>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53511169">
    <w:abstractNumId w:val="4"/>
  </w:num>
  <w:num w:numId="2" w16cid:durableId="1227453591">
    <w:abstractNumId w:val="2"/>
  </w:num>
  <w:num w:numId="3" w16cid:durableId="634675460">
    <w:abstractNumId w:val="3"/>
  </w:num>
  <w:num w:numId="4" w16cid:durableId="665717096">
    <w:abstractNumId w:val="1"/>
  </w:num>
  <w:num w:numId="5" w16cid:durableId="1109815765">
    <w:abstractNumId w:val="6"/>
  </w:num>
  <w:num w:numId="6" w16cid:durableId="1007027543">
    <w:abstractNumId w:val="0"/>
  </w:num>
  <w:num w:numId="7" w16cid:durableId="14445015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8B2"/>
    <w:rsid w:val="0008095F"/>
    <w:rsid w:val="000A1CD8"/>
    <w:rsid w:val="001B56D7"/>
    <w:rsid w:val="00301BAB"/>
    <w:rsid w:val="003328CA"/>
    <w:rsid w:val="003B702C"/>
    <w:rsid w:val="004A04F2"/>
    <w:rsid w:val="0050132D"/>
    <w:rsid w:val="00531B0A"/>
    <w:rsid w:val="005426FE"/>
    <w:rsid w:val="005A7477"/>
    <w:rsid w:val="0064477F"/>
    <w:rsid w:val="006521CD"/>
    <w:rsid w:val="00653BC0"/>
    <w:rsid w:val="00657C3F"/>
    <w:rsid w:val="00684482"/>
    <w:rsid w:val="007376B4"/>
    <w:rsid w:val="008478B3"/>
    <w:rsid w:val="008D5B75"/>
    <w:rsid w:val="009008B2"/>
    <w:rsid w:val="00921513"/>
    <w:rsid w:val="00983386"/>
    <w:rsid w:val="009E2E25"/>
    <w:rsid w:val="00A74E75"/>
    <w:rsid w:val="00AF4714"/>
    <w:rsid w:val="00B46D99"/>
    <w:rsid w:val="00B65B01"/>
    <w:rsid w:val="00BC2379"/>
    <w:rsid w:val="00BD6880"/>
    <w:rsid w:val="00BF34CB"/>
    <w:rsid w:val="00C1451C"/>
    <w:rsid w:val="00C72EFD"/>
    <w:rsid w:val="00C7758C"/>
    <w:rsid w:val="00CB357F"/>
    <w:rsid w:val="00D63590"/>
    <w:rsid w:val="00D9054E"/>
    <w:rsid w:val="00E16E33"/>
    <w:rsid w:val="00EB1E47"/>
    <w:rsid w:val="00EF2E1F"/>
    <w:rsid w:val="00FB511F"/>
    <w:rsid w:val="00FC3D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F7D3C"/>
  <w15:chartTrackingRefBased/>
  <w15:docId w15:val="{9FF2C4BB-46EB-460C-9009-E436F1BF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9008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9008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9008B2"/>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9008B2"/>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9008B2"/>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9008B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008B2"/>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008B2"/>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008B2"/>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008B2"/>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9008B2"/>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9008B2"/>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9008B2"/>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9008B2"/>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9008B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008B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008B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008B2"/>
    <w:rPr>
      <w:rFonts w:eastAsiaTheme="majorEastAsia" w:cstheme="majorBidi"/>
      <w:color w:val="272727" w:themeColor="text1" w:themeTint="D8"/>
    </w:rPr>
  </w:style>
  <w:style w:type="paragraph" w:styleId="Nzov">
    <w:name w:val="Title"/>
    <w:basedOn w:val="Normlny"/>
    <w:next w:val="Normlny"/>
    <w:link w:val="NzovChar"/>
    <w:uiPriority w:val="10"/>
    <w:qFormat/>
    <w:rsid w:val="009008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008B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008B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008B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008B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9008B2"/>
    <w:rPr>
      <w:i/>
      <w:iCs/>
      <w:color w:val="404040" w:themeColor="text1" w:themeTint="BF"/>
    </w:rPr>
  </w:style>
  <w:style w:type="paragraph" w:styleId="Odsekzoznamu">
    <w:name w:val="List Paragraph"/>
    <w:basedOn w:val="Normlny"/>
    <w:uiPriority w:val="34"/>
    <w:qFormat/>
    <w:rsid w:val="009008B2"/>
    <w:pPr>
      <w:ind w:left="720"/>
      <w:contextualSpacing/>
    </w:pPr>
  </w:style>
  <w:style w:type="character" w:styleId="Intenzvnezvraznenie">
    <w:name w:val="Intense Emphasis"/>
    <w:basedOn w:val="Predvolenpsmoodseku"/>
    <w:uiPriority w:val="21"/>
    <w:qFormat/>
    <w:rsid w:val="009008B2"/>
    <w:rPr>
      <w:i/>
      <w:iCs/>
      <w:color w:val="2F5496" w:themeColor="accent1" w:themeShade="BF"/>
    </w:rPr>
  </w:style>
  <w:style w:type="paragraph" w:styleId="Zvraznencitcia">
    <w:name w:val="Intense Quote"/>
    <w:basedOn w:val="Normlny"/>
    <w:next w:val="Normlny"/>
    <w:link w:val="ZvraznencitciaChar"/>
    <w:uiPriority w:val="30"/>
    <w:qFormat/>
    <w:rsid w:val="009008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9008B2"/>
    <w:rPr>
      <w:i/>
      <w:iCs/>
      <w:color w:val="2F5496" w:themeColor="accent1" w:themeShade="BF"/>
    </w:rPr>
  </w:style>
  <w:style w:type="character" w:styleId="Zvraznenodkaz">
    <w:name w:val="Intense Reference"/>
    <w:basedOn w:val="Predvolenpsmoodseku"/>
    <w:uiPriority w:val="32"/>
    <w:qFormat/>
    <w:rsid w:val="009008B2"/>
    <w:rPr>
      <w:b/>
      <w:bCs/>
      <w:smallCaps/>
      <w:color w:val="2F5496" w:themeColor="accent1" w:themeShade="BF"/>
      <w:spacing w:val="5"/>
    </w:rPr>
  </w:style>
  <w:style w:type="paragraph" w:styleId="Hlavika">
    <w:name w:val="header"/>
    <w:basedOn w:val="Normlny"/>
    <w:link w:val="HlavikaChar"/>
    <w:uiPriority w:val="99"/>
    <w:unhideWhenUsed/>
    <w:rsid w:val="008478B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78B3"/>
  </w:style>
  <w:style w:type="paragraph" w:styleId="Pta">
    <w:name w:val="footer"/>
    <w:basedOn w:val="Normlny"/>
    <w:link w:val="PtaChar"/>
    <w:uiPriority w:val="99"/>
    <w:unhideWhenUsed/>
    <w:rsid w:val="008478B3"/>
    <w:pPr>
      <w:tabs>
        <w:tab w:val="center" w:pos="4536"/>
        <w:tab w:val="right" w:pos="9072"/>
      </w:tabs>
      <w:spacing w:after="0" w:line="240" w:lineRule="auto"/>
    </w:pPr>
  </w:style>
  <w:style w:type="character" w:customStyle="1" w:styleId="PtaChar">
    <w:name w:val="Päta Char"/>
    <w:basedOn w:val="Predvolenpsmoodseku"/>
    <w:link w:val="Pta"/>
    <w:uiPriority w:val="99"/>
    <w:rsid w:val="008478B3"/>
  </w:style>
  <w:style w:type="paragraph" w:styleId="Popis">
    <w:name w:val="caption"/>
    <w:basedOn w:val="Normlny"/>
    <w:next w:val="Normlny"/>
    <w:uiPriority w:val="35"/>
    <w:semiHidden/>
    <w:unhideWhenUsed/>
    <w:qFormat/>
    <w:rsid w:val="000A1CD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1059</Words>
  <Characters>6039</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TEKO, a.s.</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Vancák Marek</dc:creator>
  <cp:keywords/>
  <dc:description/>
  <cp:lastModifiedBy>Kretovičová Mária</cp:lastModifiedBy>
  <cp:revision>13</cp:revision>
  <dcterms:created xsi:type="dcterms:W3CDTF">2026-04-10T11:54:00Z</dcterms:created>
  <dcterms:modified xsi:type="dcterms:W3CDTF">2026-04-13T11:31:00Z</dcterms:modified>
</cp:coreProperties>
</file>