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B0F7" w14:textId="25F9091E" w:rsidR="00AF3582" w:rsidRPr="00DA42EB" w:rsidRDefault="00AF3582" w:rsidP="008A4508">
      <w:pPr>
        <w:ind w:firstLine="708"/>
        <w:jc w:val="both"/>
        <w:rPr>
          <w:b/>
          <w:bCs/>
          <w:sz w:val="28"/>
          <w:szCs w:val="28"/>
        </w:rPr>
      </w:pPr>
      <w:r w:rsidRPr="00DA42EB">
        <w:rPr>
          <w:b/>
          <w:bCs/>
          <w:sz w:val="28"/>
          <w:szCs w:val="28"/>
        </w:rPr>
        <w:t xml:space="preserve">Projektová dokumentácie pre </w:t>
      </w:r>
      <w:r w:rsidR="001537CF">
        <w:rPr>
          <w:b/>
          <w:bCs/>
          <w:sz w:val="28"/>
          <w:szCs w:val="28"/>
        </w:rPr>
        <w:t>stavbu</w:t>
      </w:r>
      <w:r w:rsidRPr="00DA42EB">
        <w:rPr>
          <w:b/>
          <w:bCs/>
          <w:sz w:val="28"/>
          <w:szCs w:val="28"/>
        </w:rPr>
        <w:t xml:space="preserve"> „</w:t>
      </w:r>
      <w:r w:rsidR="00853303" w:rsidRPr="00853303">
        <w:rPr>
          <w:b/>
          <w:bCs/>
          <w:i/>
          <w:iCs/>
          <w:sz w:val="28"/>
          <w:szCs w:val="28"/>
        </w:rPr>
        <w:t>Inovácia dátových prenosov technológie rozvodu HV - 3. etapa</w:t>
      </w:r>
      <w:r w:rsidRPr="00DA42EB">
        <w:rPr>
          <w:b/>
          <w:bCs/>
          <w:sz w:val="28"/>
          <w:szCs w:val="28"/>
        </w:rPr>
        <w:t>“</w:t>
      </w:r>
    </w:p>
    <w:p w14:paraId="13C6B187" w14:textId="0EFB0043" w:rsidR="00141CED" w:rsidRDefault="00CB4A59" w:rsidP="00F930D4">
      <w:pPr>
        <w:ind w:firstLine="708"/>
        <w:jc w:val="both"/>
      </w:pPr>
      <w:r w:rsidRPr="00CB4A59">
        <w:t xml:space="preserve">Predmetom </w:t>
      </w:r>
      <w:r>
        <w:t xml:space="preserve">prác </w:t>
      </w:r>
      <w:r w:rsidRPr="00CB4A59">
        <w:t xml:space="preserve">je záväzok zhotoviteľa zhotoviť riadne a včas pre objednávateľa dielo, ktoré spočíva vo vyhotovení projektovej dokumentácie pre </w:t>
      </w:r>
      <w:r w:rsidR="001537CF">
        <w:t>stavbu</w:t>
      </w:r>
      <w:r w:rsidR="00141CED">
        <w:t xml:space="preserve"> </w:t>
      </w:r>
      <w:r w:rsidRPr="00CB4A59">
        <w:t>„</w:t>
      </w:r>
      <w:r w:rsidR="00853303" w:rsidRPr="00853303">
        <w:rPr>
          <w:b/>
          <w:bCs/>
        </w:rPr>
        <w:t>Inovácia dátových prenosov technológie rozvodu HV - 3. etapa</w:t>
      </w:r>
      <w:r w:rsidR="00141CED" w:rsidRPr="7392CFF3">
        <w:t>“</w:t>
      </w:r>
      <w:r w:rsidRPr="00CB4A59">
        <w:t xml:space="preserve"> (ďalej len „PD“).</w:t>
      </w:r>
    </w:p>
    <w:p w14:paraId="4D9876DF" w14:textId="7D31FDD1" w:rsidR="008C3C76" w:rsidRDefault="00141CED" w:rsidP="00F930D4">
      <w:pPr>
        <w:ind w:firstLine="708"/>
        <w:jc w:val="both"/>
      </w:pPr>
      <w:r>
        <w:t>V</w:t>
      </w:r>
      <w:r w:rsidR="00CB4A59" w:rsidRPr="00CB4A59">
        <w:t xml:space="preserve"> podrobnostiach dokumentácie </w:t>
      </w:r>
      <w:r w:rsidR="008B1B42" w:rsidRPr="008B1B42">
        <w:t>potrebnej pre vydanie povolenia na realizáciu stavby</w:t>
      </w:r>
      <w:r w:rsidR="001537CF">
        <w:t xml:space="preserve"> </w:t>
      </w:r>
      <w:r w:rsidR="008B1B42">
        <w:t xml:space="preserve">podľa stavebného zákon </w:t>
      </w:r>
      <w:r w:rsidR="008B1B42" w:rsidRPr="00AF3582">
        <w:t>25/2025</w:t>
      </w:r>
      <w:r w:rsidR="001537CF">
        <w:t xml:space="preserve"> a príslušných vykonávacích vyhlášok</w:t>
      </w:r>
      <w:r w:rsidR="008B1B42" w:rsidRPr="00AF3582">
        <w:t xml:space="preserve">. </w:t>
      </w:r>
      <w:r w:rsidR="008B1B42" w:rsidRPr="00AF3582">
        <w:rPr>
          <w:b/>
          <w:bCs/>
        </w:rPr>
        <w:t>Pričom stupeň</w:t>
      </w:r>
      <w:r w:rsidR="000D526F" w:rsidRPr="00AF3582">
        <w:rPr>
          <w:b/>
          <w:bCs/>
        </w:rPr>
        <w:t xml:space="preserve"> </w:t>
      </w:r>
      <w:r w:rsidR="008B1B42" w:rsidRPr="00AF3582">
        <w:rPr>
          <w:b/>
          <w:bCs/>
        </w:rPr>
        <w:t>projektovej dokumentácie urči projektant</w:t>
      </w:r>
      <w:r w:rsidR="001537CF" w:rsidRPr="001537CF">
        <w:t xml:space="preserve"> na základne stavebného riešenia navrhovanej stavby</w:t>
      </w:r>
      <w:r w:rsidR="008B1B42" w:rsidRPr="001537CF">
        <w:t>.</w:t>
      </w:r>
    </w:p>
    <w:p w14:paraId="5ED4A6E3" w14:textId="32AF53BA" w:rsidR="008C3C76" w:rsidRDefault="008C3C76" w:rsidP="00F930D4">
      <w:pPr>
        <w:ind w:firstLine="708"/>
        <w:jc w:val="both"/>
      </w:pPr>
      <w:r>
        <w:t xml:space="preserve">Súčasťou odovzdanej PD budú aj písomná a výkresová dokumentácia </w:t>
      </w:r>
      <w:r w:rsidR="001537CF">
        <w:t>z</w:t>
      </w:r>
      <w:r>
        <w:t xml:space="preserve"> vyššieho stupňa </w:t>
      </w:r>
      <w:r w:rsidRPr="00AF3582">
        <w:rPr>
          <w:b/>
          <w:bCs/>
        </w:rPr>
        <w:t>projektovej</w:t>
      </w:r>
      <w:r>
        <w:t xml:space="preserve"> </w:t>
      </w:r>
      <w:r w:rsidRPr="00AF3582">
        <w:rPr>
          <w:b/>
          <w:bCs/>
        </w:rPr>
        <w:t>dokumentácie potrebná pre výber zhotoviteľa</w:t>
      </w:r>
      <w:r>
        <w:t xml:space="preserve"> realizačných prác a to v minimálnom rozsahu:</w:t>
      </w:r>
    </w:p>
    <w:p w14:paraId="5F820FE2" w14:textId="4694F2AF" w:rsidR="008C3C76" w:rsidRPr="00AF3582" w:rsidRDefault="00AF3582" w:rsidP="00F930D4">
      <w:pPr>
        <w:pStyle w:val="Odsekzoznamu"/>
        <w:numPr>
          <w:ilvl w:val="0"/>
          <w:numId w:val="1"/>
        </w:numPr>
        <w:jc w:val="both"/>
      </w:pPr>
      <w:r>
        <w:t>s</w:t>
      </w:r>
      <w:r w:rsidR="008C3C76" w:rsidRPr="00AF3582">
        <w:t>chémy</w:t>
      </w:r>
      <w:r w:rsidR="008B1B42" w:rsidRPr="00AF3582">
        <w:t xml:space="preserve"> elektro</w:t>
      </w:r>
      <w:r w:rsidR="008C3C76" w:rsidRPr="00AF3582">
        <w:t xml:space="preserve"> </w:t>
      </w:r>
      <w:r w:rsidR="000D526F" w:rsidRPr="00AF3582">
        <w:t>(elektrotechnické schémy, blokové schémy, polohopisy</w:t>
      </w:r>
      <w:r w:rsidR="001537CF">
        <w:t>, zoznam použitej kabeláže a zariadení</w:t>
      </w:r>
      <w:r w:rsidR="000D526F" w:rsidRPr="00AF3582">
        <w:t>)</w:t>
      </w:r>
      <w:r w:rsidR="00A61A42" w:rsidRPr="00AF3582">
        <w:t>,</w:t>
      </w:r>
    </w:p>
    <w:p w14:paraId="6507B6E2" w14:textId="08A6E5C5" w:rsidR="008C3C76" w:rsidRDefault="008C3C76" w:rsidP="00F930D4">
      <w:pPr>
        <w:pStyle w:val="Odsekzoznamu"/>
        <w:numPr>
          <w:ilvl w:val="0"/>
          <w:numId w:val="1"/>
        </w:numPr>
        <w:jc w:val="both"/>
      </w:pPr>
      <w:proofErr w:type="spellStart"/>
      <w:r>
        <w:t>kladačské</w:t>
      </w:r>
      <w:proofErr w:type="spellEnd"/>
      <w:r>
        <w:t xml:space="preserve"> plány inštalačných vedení (</w:t>
      </w:r>
      <w:proofErr w:type="spellStart"/>
      <w:r w:rsidR="001537CF">
        <w:t>tz</w:t>
      </w:r>
      <w:proofErr w:type="spellEnd"/>
      <w:r w:rsidR="001537CF">
        <w:t xml:space="preserve">. </w:t>
      </w:r>
      <w:r>
        <w:t xml:space="preserve">uloženie </w:t>
      </w:r>
      <w:r w:rsidR="001537CF">
        <w:t xml:space="preserve">chráničiek, </w:t>
      </w:r>
      <w:r w:rsidR="00290740">
        <w:t>komunikačných</w:t>
      </w:r>
      <w:r>
        <w:t xml:space="preserve"> káblov vo výkope a prechodoch medzi budovou telekomunikačnej techniky a šachty)</w:t>
      </w:r>
      <w:r w:rsidR="00A61A42">
        <w:t>,</w:t>
      </w:r>
    </w:p>
    <w:p w14:paraId="2A0C728F" w14:textId="45F16684" w:rsidR="008C3C76" w:rsidRDefault="008C3C76" w:rsidP="00F930D4">
      <w:pPr>
        <w:pStyle w:val="Odsekzoznamu"/>
        <w:numPr>
          <w:ilvl w:val="0"/>
          <w:numId w:val="1"/>
        </w:numPr>
        <w:jc w:val="both"/>
      </w:pPr>
      <w:r>
        <w:t>materiálové a technické riešenia stykov, prestupov a spojov stavebných (prestupy medzi stavebnými konštrukciami s návrhom riešenia)</w:t>
      </w:r>
      <w:r w:rsidR="00A61A42">
        <w:t>,</w:t>
      </w:r>
    </w:p>
    <w:p w14:paraId="3A939D7C" w14:textId="77777777" w:rsidR="008C3C76" w:rsidRDefault="008C3C76" w:rsidP="00F930D4">
      <w:pPr>
        <w:pStyle w:val="Odsekzoznamu"/>
        <w:numPr>
          <w:ilvl w:val="0"/>
          <w:numId w:val="1"/>
        </w:numPr>
        <w:jc w:val="both"/>
      </w:pPr>
      <w:r>
        <w:t>technologických a inštalačných rozvodov a prvkov,</w:t>
      </w:r>
    </w:p>
    <w:p w14:paraId="3F355D09" w14:textId="3C7955F5" w:rsidR="008C3C76" w:rsidRDefault="008C3C76" w:rsidP="00F930D4">
      <w:pPr>
        <w:pStyle w:val="Odsekzoznamu"/>
        <w:numPr>
          <w:ilvl w:val="0"/>
          <w:numId w:val="1"/>
        </w:numPr>
        <w:jc w:val="both"/>
      </w:pPr>
      <w:r>
        <w:t>spresnenia polôh inštalácií a vedení, ich vyústení a polôh a spresnenia polohy</w:t>
      </w:r>
      <w:r w:rsidR="00AF3582">
        <w:t>,</w:t>
      </w:r>
    </w:p>
    <w:p w14:paraId="7D3EEDCB" w14:textId="238EF064" w:rsidR="008C3C76" w:rsidRDefault="008C3C76" w:rsidP="00F930D4">
      <w:pPr>
        <w:pStyle w:val="Odsekzoznamu"/>
        <w:numPr>
          <w:ilvl w:val="0"/>
          <w:numId w:val="1"/>
        </w:numPr>
        <w:jc w:val="both"/>
      </w:pPr>
      <w:r>
        <w:t>ovládacích a riadiacich prvkov</w:t>
      </w:r>
      <w:r w:rsidR="00FE67E0">
        <w:t xml:space="preserve"> v jednotlivých UB so zapojením do ri</w:t>
      </w:r>
      <w:r w:rsidR="00742824">
        <w:t>a</w:t>
      </w:r>
      <w:r w:rsidR="00FE67E0">
        <w:t xml:space="preserve">diacej jednotky a v šachtách pre napojenie </w:t>
      </w:r>
      <w:r w:rsidR="00742824">
        <w:t>snímačov</w:t>
      </w:r>
      <w:r w:rsidR="00FE67E0">
        <w:t xml:space="preserve"> pohybu a teploty</w:t>
      </w:r>
      <w:r>
        <w:t>,</w:t>
      </w:r>
    </w:p>
    <w:p w14:paraId="0AC429D2" w14:textId="713E98A3" w:rsidR="008C3C76" w:rsidRDefault="008C3C76" w:rsidP="00F930D4">
      <w:pPr>
        <w:pStyle w:val="Odsekzoznamu"/>
        <w:numPr>
          <w:ilvl w:val="0"/>
          <w:numId w:val="1"/>
        </w:numPr>
        <w:jc w:val="both"/>
      </w:pPr>
      <w:r>
        <w:t>návrh povrchových úprav konštrukčných a ostatných prvkov stavby a</w:t>
      </w:r>
      <w:r w:rsidR="00AF3582">
        <w:t> </w:t>
      </w:r>
      <w:r>
        <w:t>návrh</w:t>
      </w:r>
      <w:r w:rsidR="00AF3582">
        <w:t xml:space="preserve"> </w:t>
      </w:r>
      <w:r>
        <w:t>technológie, postupov a realizácie povrchových úprav,</w:t>
      </w:r>
    </w:p>
    <w:p w14:paraId="2285115E" w14:textId="5FD74748" w:rsidR="008C3C76" w:rsidRDefault="008C3C76" w:rsidP="00F930D4">
      <w:pPr>
        <w:pStyle w:val="Odsekzoznamu"/>
        <w:numPr>
          <w:ilvl w:val="0"/>
          <w:numId w:val="1"/>
        </w:numPr>
        <w:jc w:val="both"/>
      </w:pPr>
      <w:r>
        <w:t>popisy technologických a technických postupov výroby</w:t>
      </w:r>
      <w:r w:rsidR="00CA5E06">
        <w:t xml:space="preserve"> a skúšania</w:t>
      </w:r>
      <w:r>
        <w:t>,</w:t>
      </w:r>
    </w:p>
    <w:p w14:paraId="65F7FFD7" w14:textId="0FB1D559" w:rsidR="008C3C76" w:rsidRDefault="008C3C76" w:rsidP="00F930D4">
      <w:pPr>
        <w:pStyle w:val="Odsekzoznamu"/>
        <w:numPr>
          <w:ilvl w:val="0"/>
          <w:numId w:val="1"/>
        </w:numPr>
        <w:jc w:val="both"/>
      </w:pPr>
      <w:r>
        <w:t>plán organizácie výstavby</w:t>
      </w:r>
      <w:r w:rsidR="00AF3582">
        <w:t xml:space="preserve"> (ďalej len „POV“)</w:t>
      </w:r>
      <w:r>
        <w:t>,</w:t>
      </w:r>
    </w:p>
    <w:p w14:paraId="009CB5DF" w14:textId="43EF8017" w:rsidR="008B1B42" w:rsidRDefault="008B1B42" w:rsidP="00F930D4">
      <w:pPr>
        <w:pStyle w:val="Odsekzoznamu"/>
        <w:numPr>
          <w:ilvl w:val="0"/>
          <w:numId w:val="1"/>
        </w:numPr>
        <w:jc w:val="both"/>
      </w:pPr>
      <w:r w:rsidRPr="00AF3582">
        <w:rPr>
          <w:b/>
          <w:bCs/>
        </w:rPr>
        <w:t xml:space="preserve">podrobný </w:t>
      </w:r>
      <w:proofErr w:type="spellStart"/>
      <w:r w:rsidRPr="00AF3582">
        <w:rPr>
          <w:b/>
          <w:bCs/>
        </w:rPr>
        <w:t>položkovitý</w:t>
      </w:r>
      <w:proofErr w:type="spellEnd"/>
      <w:r w:rsidRPr="00AF3582">
        <w:rPr>
          <w:b/>
          <w:bCs/>
        </w:rPr>
        <w:t xml:space="preserve"> výkaz výmer</w:t>
      </w:r>
      <w:r>
        <w:t xml:space="preserve"> s ocenenými jednotlivých položiek v podrobnostiach vykonávacieho projektu, súčasťou rozpočtu musia byť </w:t>
      </w:r>
      <w:r w:rsidRPr="0006601C">
        <w:rPr>
          <w:rFonts w:ascii="Calibri" w:eastAsia="Calibri" w:hAnsi="Calibri" w:cs="Calibri"/>
          <w:color w:val="000000" w:themeColor="text1"/>
        </w:rPr>
        <w:t>príslušné práce alebo dodávky</w:t>
      </w:r>
      <w:r>
        <w:t>, rozpočet vyhotov</w:t>
      </w:r>
      <w:r w:rsidR="001537CF">
        <w:t>í zhotoviteľ</w:t>
      </w:r>
      <w:r>
        <w:t xml:space="preserve"> v</w:t>
      </w:r>
      <w:r w:rsidR="001537CF">
        <w:t> </w:t>
      </w:r>
      <w:r w:rsidRPr="0006601C">
        <w:rPr>
          <w:rFonts w:ascii="Calibri" w:eastAsia="Calibri" w:hAnsi="Calibri" w:cs="Calibri"/>
          <w:color w:val="000000" w:themeColor="text1"/>
        </w:rPr>
        <w:t>rozpočt</w:t>
      </w:r>
      <w:r w:rsidR="001537CF">
        <w:rPr>
          <w:rFonts w:ascii="Calibri" w:eastAsia="Calibri" w:hAnsi="Calibri" w:cs="Calibri"/>
          <w:color w:val="000000" w:themeColor="text1"/>
        </w:rPr>
        <w:t>ovom programe</w:t>
      </w:r>
      <w:r w:rsidRPr="0006601C">
        <w:rPr>
          <w:rFonts w:ascii="Calibri" w:eastAsia="Calibri" w:hAnsi="Calibri" w:cs="Calibri"/>
          <w:color w:val="000000" w:themeColor="text1"/>
        </w:rPr>
        <w:t xml:space="preserve"> spoločností KROS a.s., ODIS, s.r.o. alebo CENEKON, a.s.,</w:t>
      </w:r>
    </w:p>
    <w:p w14:paraId="7B3735B7" w14:textId="15FB4144" w:rsidR="00CB4A59" w:rsidRPr="00CB4A59" w:rsidRDefault="00CB4A59" w:rsidP="00F930D4">
      <w:pPr>
        <w:ind w:firstLine="708"/>
        <w:jc w:val="both"/>
      </w:pPr>
      <w:r w:rsidRPr="00CB4A59">
        <w:t xml:space="preserve">Za účelom riadneho vykonania diela je zhotoviteľ povinný </w:t>
      </w:r>
      <w:r w:rsidR="00DA42EB" w:rsidRPr="00CB4A59">
        <w:t>zapracovať do PD pripomienky objednávateľa</w:t>
      </w:r>
      <w:r w:rsidR="001537CF">
        <w:t>.</w:t>
      </w:r>
      <w:r w:rsidR="00DA42EB" w:rsidRPr="00CB4A59">
        <w:t xml:space="preserve"> </w:t>
      </w:r>
      <w:r w:rsidR="001537CF">
        <w:t>N</w:t>
      </w:r>
      <w:r w:rsidRPr="00CB4A59">
        <w:t xml:space="preserve">a vlastné náklady vyžiadať </w:t>
      </w:r>
      <w:r w:rsidR="00DA42EB">
        <w:t>a </w:t>
      </w:r>
      <w:r w:rsidR="00DA42EB" w:rsidRPr="00DA42EB">
        <w:rPr>
          <w:b/>
          <w:bCs/>
        </w:rPr>
        <w:t>dodať k </w:t>
      </w:r>
      <w:r w:rsidRPr="00DA42EB">
        <w:rPr>
          <w:b/>
          <w:bCs/>
        </w:rPr>
        <w:t>PD všetky potrebné stanoviská</w:t>
      </w:r>
      <w:r w:rsidR="00DA42EB">
        <w:rPr>
          <w:b/>
          <w:bCs/>
        </w:rPr>
        <w:t>, vyjadrenia</w:t>
      </w:r>
      <w:r w:rsidRPr="00CB4A59">
        <w:t xml:space="preserve"> dotknutých orgánov, dotknutých právnických osôb a iných subjektov. Súčasťou PD je aj vypracovanie rozpočtu a výkazu výmer diela.</w:t>
      </w:r>
    </w:p>
    <w:p w14:paraId="1014AF7C" w14:textId="77777777" w:rsidR="00CB4A59" w:rsidRPr="00CA29C7" w:rsidRDefault="00CB4A59" w:rsidP="00F930D4">
      <w:pPr>
        <w:jc w:val="both"/>
        <w:rPr>
          <w:u w:val="single"/>
        </w:rPr>
      </w:pPr>
      <w:r w:rsidRPr="00CA29C7">
        <w:rPr>
          <w:u w:val="single"/>
        </w:rPr>
        <w:t>Projektová dokumentácia musí byť vypracovaná v súlade a v rozsahu stanovenom:</w:t>
      </w:r>
    </w:p>
    <w:p w14:paraId="049CE139" w14:textId="03C9F050" w:rsidR="00CB4A59" w:rsidRPr="00CB4A59" w:rsidRDefault="00CB4A59" w:rsidP="00F930D4">
      <w:pPr>
        <w:pStyle w:val="Odsekzoznamu"/>
        <w:numPr>
          <w:ilvl w:val="0"/>
          <w:numId w:val="1"/>
        </w:numPr>
        <w:jc w:val="both"/>
      </w:pPr>
      <w:r w:rsidRPr="00CB4A59">
        <w:t xml:space="preserve">zákonom č. 25/2025 </w:t>
      </w:r>
      <w:proofErr w:type="spellStart"/>
      <w:r w:rsidRPr="00CB4A59">
        <w:t>Z.z</w:t>
      </w:r>
      <w:proofErr w:type="spellEnd"/>
      <w:r w:rsidRPr="00CB4A59">
        <w:t xml:space="preserve">. Stavebný zákon a vyhláškou Úradu pre územné plánovanie a výstavbu Slovenskej republiky č. 60/2025 </w:t>
      </w:r>
      <w:proofErr w:type="spellStart"/>
      <w:r w:rsidRPr="00CB4A59">
        <w:t>Z.z</w:t>
      </w:r>
      <w:proofErr w:type="spellEnd"/>
      <w:r w:rsidRPr="00CB4A59">
        <w:t>. o štruktúre a prevádzke informačného systému územného plánovania a výstavby, o obsahu podaní a obsahu a rozsahu dokumentácie stavby,</w:t>
      </w:r>
    </w:p>
    <w:p w14:paraId="1178EB87" w14:textId="1749215A" w:rsidR="00CB4A59" w:rsidRPr="00CB4A59" w:rsidRDefault="00CB4A59" w:rsidP="00F930D4">
      <w:pPr>
        <w:pStyle w:val="Odsekzoznamu"/>
        <w:numPr>
          <w:ilvl w:val="0"/>
          <w:numId w:val="1"/>
        </w:numPr>
        <w:jc w:val="both"/>
      </w:pPr>
      <w:r w:rsidRPr="00CB4A59">
        <w:t>Prílohy aktuálneho sadzobníka UNIKA (v rozsahu v ktorom je aplikovateľná podľa stavebného zákona</w:t>
      </w:r>
      <w:r w:rsidR="008B1B42">
        <w:t>,</w:t>
      </w:r>
      <w:r w:rsidRPr="00CB4A59">
        <w:t xml:space="preserve"> v režime ktorého sa bude PD používať a jeho vykonávacích vyhlášok)</w:t>
      </w:r>
      <w:r w:rsidR="001537CF">
        <w:t>,</w:t>
      </w:r>
    </w:p>
    <w:p w14:paraId="05C9417C" w14:textId="3EE2DB9A" w:rsidR="005701E6" w:rsidRDefault="00CB4A59" w:rsidP="00F930D4">
      <w:pPr>
        <w:pStyle w:val="Odsekzoznamu"/>
        <w:numPr>
          <w:ilvl w:val="0"/>
          <w:numId w:val="1"/>
        </w:numPr>
        <w:jc w:val="both"/>
      </w:pPr>
      <w:r w:rsidRPr="00CB4A59">
        <w:t xml:space="preserve">zákona č. 124/2006 Z. z. o bezpečnosti a ochrane zdravia pri práci a o zmene a doplnení niektorých zákonov a vyhláškou Ministerstva práce, sociálnych vecí a rodiny Slovenskej republiky č. 508/2009 z. z., ktorou sa ustanovujú podrobnosti na zaistenie bezpečnosti a ochrany zdravia pri práci s technickými zariadeniami tlakovými, zdvíhacími, elektrickými a plynovými a ktorou sa ustanovujú </w:t>
      </w:r>
      <w:r w:rsidRPr="00CB4A59">
        <w:lastRenderedPageBreak/>
        <w:t>technické zariadenia, ktoré sa považujú za vyhradené technické zariadenia v znení neskorších predpisov (ďalej len ako „vyhláška č. 508/2009 Z. z.) a technickými podmienkami pre projektovanie.</w:t>
      </w:r>
      <w:r w:rsidR="001537CF">
        <w:t>,</w:t>
      </w:r>
    </w:p>
    <w:p w14:paraId="2AD804A1" w14:textId="4C8FD291" w:rsidR="00CB4A59" w:rsidRDefault="00CB4A59" w:rsidP="00F930D4">
      <w:pPr>
        <w:pStyle w:val="Odsekzoznamu"/>
        <w:numPr>
          <w:ilvl w:val="0"/>
          <w:numId w:val="1"/>
        </w:numPr>
        <w:jc w:val="both"/>
      </w:pPr>
      <w:r w:rsidRPr="00CB4A59">
        <w:t>ďalšími všeobecne záväznými právnymi predpismi a technickými normami (STN, STN EN, ISO a pod.)</w:t>
      </w:r>
    </w:p>
    <w:p w14:paraId="2C915AEF" w14:textId="77777777" w:rsidR="00CA29C7" w:rsidRPr="00CB4A59" w:rsidRDefault="00CA29C7" w:rsidP="00F930D4">
      <w:pPr>
        <w:pStyle w:val="Odsekzoznamu"/>
        <w:jc w:val="both"/>
      </w:pPr>
    </w:p>
    <w:p w14:paraId="3C366124" w14:textId="745ED55E" w:rsidR="00CB4A59" w:rsidRPr="00CB4A59" w:rsidRDefault="00CB4A59" w:rsidP="00F930D4">
      <w:pPr>
        <w:jc w:val="both"/>
      </w:pPr>
      <w:r w:rsidRPr="00CA29C7">
        <w:rPr>
          <w:u w:val="single"/>
        </w:rPr>
        <w:t>Rozsah diela a</w:t>
      </w:r>
      <w:r w:rsidR="00CA29C7" w:rsidRPr="00CA29C7">
        <w:rPr>
          <w:u w:val="single"/>
        </w:rPr>
        <w:t xml:space="preserve"> ďalších </w:t>
      </w:r>
      <w:r w:rsidRPr="00CA29C7">
        <w:rPr>
          <w:u w:val="single"/>
        </w:rPr>
        <w:t>požiadav</w:t>
      </w:r>
      <w:r w:rsidR="00CA29C7" w:rsidRPr="00CA29C7">
        <w:rPr>
          <w:u w:val="single"/>
        </w:rPr>
        <w:t xml:space="preserve">iek </w:t>
      </w:r>
      <w:r w:rsidRPr="00CA29C7">
        <w:rPr>
          <w:u w:val="single"/>
        </w:rPr>
        <w:t xml:space="preserve">objednávateľa na PD a výkon </w:t>
      </w:r>
      <w:r w:rsidR="00CA29C7" w:rsidRPr="00CA29C7">
        <w:rPr>
          <w:b/>
          <w:bCs/>
          <w:u w:val="single"/>
        </w:rPr>
        <w:t>inžinierskych</w:t>
      </w:r>
      <w:r w:rsidRPr="00CA29C7">
        <w:rPr>
          <w:b/>
          <w:bCs/>
          <w:u w:val="single"/>
        </w:rPr>
        <w:t xml:space="preserve"> činností</w:t>
      </w:r>
      <w:r w:rsidRPr="00CB4A59">
        <w:t xml:space="preserve"> </w:t>
      </w:r>
      <w:r w:rsidR="005701E6">
        <w:t>:</w:t>
      </w:r>
    </w:p>
    <w:p w14:paraId="19B20393" w14:textId="75647D36" w:rsidR="00CB4A59" w:rsidRPr="00CB4A59" w:rsidRDefault="00CB4A59" w:rsidP="00F930D4">
      <w:pPr>
        <w:ind w:firstLine="708"/>
        <w:jc w:val="both"/>
      </w:pPr>
      <w:r w:rsidRPr="00CB4A59">
        <w:t>Súčasťou plnenia zhotoviteľa je najmä</w:t>
      </w:r>
      <w:r w:rsidR="00DA42EB">
        <w:t xml:space="preserve"> i</w:t>
      </w:r>
      <w:r w:rsidRPr="00CB4A59">
        <w:t>nžinierska činnosť a ďalšie činnosti nevyhnutné pre riadne vykonanie diela.</w:t>
      </w:r>
      <w:r w:rsidR="00DA42EB">
        <w:t xml:space="preserve"> </w:t>
      </w:r>
      <w:r w:rsidRPr="00CB4A59">
        <w:t>Inžinierska činnosť</w:t>
      </w:r>
      <w:r w:rsidR="005701E6">
        <w:t xml:space="preserve"> v</w:t>
      </w:r>
      <w:r w:rsidRPr="00CB4A59">
        <w:t xml:space="preserve"> súvislosti s vypracovaním PD pre predmet diela zhotoviteľ zabezpečí všetky úkony potrebné pre zabezpečenie právoplatnosti rozhodnutí</w:t>
      </w:r>
      <w:r w:rsidR="005701E6">
        <w:t>.</w:t>
      </w:r>
    </w:p>
    <w:p w14:paraId="02E2326B" w14:textId="01E3342A" w:rsidR="005701E6" w:rsidRDefault="005701E6" w:rsidP="00F930D4">
      <w:pPr>
        <w:ind w:firstLine="708"/>
        <w:jc w:val="both"/>
      </w:pPr>
      <w:r>
        <w:t>V prípade námietok dotknutých orgánov, dotknutých právnických orgánov a dotknutých účastníkov konania zabezpečí zhotoviteľ dopracovanie projektovej dokumentácie, tak aby bolo zabezpečené povolenie na realizáciu stavby podľa stavebného zákona.</w:t>
      </w:r>
    </w:p>
    <w:p w14:paraId="3AF833E0" w14:textId="6243B1BA" w:rsidR="005701E6" w:rsidRDefault="00DA42EB" w:rsidP="00F930D4">
      <w:pPr>
        <w:jc w:val="both"/>
      </w:pPr>
      <w:r w:rsidRPr="00DA42EB">
        <w:rPr>
          <w:u w:val="single"/>
        </w:rPr>
        <w:t xml:space="preserve">Termín plnenia </w:t>
      </w:r>
      <w:r w:rsidR="00E51CDC">
        <w:rPr>
          <w:u w:val="single"/>
        </w:rPr>
        <w:t>5</w:t>
      </w:r>
      <w:r w:rsidRPr="00DA42EB">
        <w:rPr>
          <w:u w:val="single"/>
        </w:rPr>
        <w:t xml:space="preserve"> mesiac</w:t>
      </w:r>
      <w:r w:rsidR="00B67D58" w:rsidRPr="00B67D58">
        <w:rPr>
          <w:u w:val="single"/>
        </w:rPr>
        <w:t>e od doručenia objednávky</w:t>
      </w:r>
      <w:r w:rsidRPr="00DA42EB">
        <w:rPr>
          <w:u w:val="single"/>
        </w:rPr>
        <w:t>.</w:t>
      </w:r>
      <w:r>
        <w:rPr>
          <w:u w:val="single"/>
        </w:rPr>
        <w:t xml:space="preserve"> </w:t>
      </w:r>
      <w:r w:rsidR="005701E6">
        <w:t>Dokumentácia sa považuje za odovzdanú v čase dodania predmetnej PD</w:t>
      </w:r>
      <w:r>
        <w:t xml:space="preserve">, oceneného výkazu výmer </w:t>
      </w:r>
      <w:r w:rsidR="005701E6">
        <w:t xml:space="preserve">a dodania všetkých potrebných </w:t>
      </w:r>
      <w:bookmarkStart w:id="0" w:name="_Hlk196723408"/>
      <w:r w:rsidR="005701E6">
        <w:t xml:space="preserve">stanovísk dotknutých orgánov a vyjadrení </w:t>
      </w:r>
      <w:bookmarkEnd w:id="0"/>
      <w:r w:rsidR="005701E6">
        <w:t>dotknutých právnických osôb a dotknutých účastníkov.</w:t>
      </w:r>
    </w:p>
    <w:p w14:paraId="5C4BEF8F" w14:textId="1E92C5C3" w:rsidR="00DA42EB" w:rsidRPr="00DA42EB" w:rsidRDefault="00DA42EB" w:rsidP="00F930D4">
      <w:pPr>
        <w:jc w:val="both"/>
        <w:rPr>
          <w:u w:val="single"/>
        </w:rPr>
      </w:pPr>
      <w:r w:rsidRPr="00DA42EB">
        <w:rPr>
          <w:u w:val="single"/>
        </w:rPr>
        <w:t xml:space="preserve">Forma a rozsah odovzdania </w:t>
      </w:r>
      <w:r w:rsidR="00CA29C7" w:rsidRPr="00CA29C7">
        <w:rPr>
          <w:b/>
          <w:bCs/>
          <w:u w:val="single"/>
        </w:rPr>
        <w:t xml:space="preserve">projektovej </w:t>
      </w:r>
      <w:r w:rsidRPr="00CA29C7">
        <w:rPr>
          <w:b/>
          <w:bCs/>
          <w:u w:val="single"/>
        </w:rPr>
        <w:t>dokumentácie</w:t>
      </w:r>
      <w:r w:rsidR="00CA29C7">
        <w:rPr>
          <w:u w:val="single"/>
        </w:rPr>
        <w:t xml:space="preserve"> a </w:t>
      </w:r>
      <w:r w:rsidR="00CA29C7" w:rsidRPr="00CA29C7">
        <w:rPr>
          <w:b/>
          <w:bCs/>
          <w:u w:val="single"/>
        </w:rPr>
        <w:t>inžiniersk</w:t>
      </w:r>
      <w:r w:rsidR="00CA29C7">
        <w:rPr>
          <w:b/>
          <w:bCs/>
          <w:u w:val="single"/>
        </w:rPr>
        <w:t>ej</w:t>
      </w:r>
      <w:r w:rsidR="00CA29C7" w:rsidRPr="00CA29C7">
        <w:rPr>
          <w:b/>
          <w:bCs/>
          <w:u w:val="single"/>
        </w:rPr>
        <w:t xml:space="preserve"> činností</w:t>
      </w:r>
      <w:r w:rsidRPr="00DA42EB">
        <w:rPr>
          <w:u w:val="single"/>
        </w:rPr>
        <w:t>:</w:t>
      </w:r>
    </w:p>
    <w:p w14:paraId="50571498" w14:textId="65A374B2" w:rsidR="005701E6" w:rsidRDefault="00E32379" w:rsidP="00F930D4">
      <w:pPr>
        <w:ind w:firstLine="708"/>
        <w:jc w:val="both"/>
      </w:pPr>
      <w:r>
        <w:rPr>
          <w:b/>
          <w:bCs/>
        </w:rPr>
        <w:t>P</w:t>
      </w:r>
      <w:r w:rsidR="00DA42EB" w:rsidRPr="00DA42EB">
        <w:rPr>
          <w:b/>
          <w:bCs/>
        </w:rPr>
        <w:t xml:space="preserve">rojektová </w:t>
      </w:r>
      <w:r w:rsidR="005701E6" w:rsidRPr="00DA42EB">
        <w:rPr>
          <w:b/>
          <w:bCs/>
        </w:rPr>
        <w:t>dokumentácia</w:t>
      </w:r>
      <w:r w:rsidR="00DA42EB">
        <w:rPr>
          <w:b/>
          <w:bCs/>
        </w:rPr>
        <w:t xml:space="preserve"> </w:t>
      </w:r>
      <w:r w:rsidR="00DA42EB" w:rsidRPr="00DA42EB">
        <w:t>a </w:t>
      </w:r>
      <w:r w:rsidR="00DA42EB">
        <w:rPr>
          <w:b/>
          <w:bCs/>
        </w:rPr>
        <w:t xml:space="preserve">ocenený výkaz výmer </w:t>
      </w:r>
      <w:r w:rsidR="0082470D">
        <w:rPr>
          <w:b/>
          <w:bCs/>
        </w:rPr>
        <w:t>pre každú vetvu (a</w:t>
      </w:r>
      <w:r w:rsidR="0081363C">
        <w:rPr>
          <w:b/>
          <w:bCs/>
        </w:rPr>
        <w:t xml:space="preserve">), b), c) a d)) </w:t>
      </w:r>
      <w:r w:rsidR="0082470D">
        <w:rPr>
          <w:b/>
          <w:bCs/>
        </w:rPr>
        <w:t xml:space="preserve">samostatne </w:t>
      </w:r>
      <w:r w:rsidR="005701E6">
        <w:t>bude odovzdávan</w:t>
      </w:r>
      <w:r w:rsidR="00FE42A4">
        <w:t>á</w:t>
      </w:r>
      <w:r w:rsidR="005701E6">
        <w:t xml:space="preserve"> objednávateľovi v</w:t>
      </w:r>
      <w:r w:rsidR="00431B92">
        <w:t> troch (3) vyhotoveniach v listinnej forme a v jednom (1) vyhotovení v elektronickej forme [(*.</w:t>
      </w:r>
      <w:proofErr w:type="spellStart"/>
      <w:r w:rsidR="00431B92">
        <w:t>doc</w:t>
      </w:r>
      <w:proofErr w:type="spellEnd"/>
      <w:r w:rsidR="00431B92">
        <w:t>,*.</w:t>
      </w:r>
      <w:proofErr w:type="spellStart"/>
      <w:r w:rsidR="00431B92">
        <w:t>xls</w:t>
      </w:r>
      <w:proofErr w:type="spellEnd"/>
      <w:r w:rsidR="00431B92">
        <w:t>, *.</w:t>
      </w:r>
      <w:proofErr w:type="spellStart"/>
      <w:r w:rsidR="00431B92">
        <w:t>pdf</w:t>
      </w:r>
      <w:proofErr w:type="spellEnd"/>
      <w:r w:rsidR="00431B92">
        <w:t xml:space="preserve"> – textová časť), (*.</w:t>
      </w:r>
      <w:proofErr w:type="spellStart"/>
      <w:r w:rsidR="00431B92">
        <w:t>dwg</w:t>
      </w:r>
      <w:proofErr w:type="spellEnd"/>
      <w:r w:rsidR="00431B92">
        <w:t>, * .</w:t>
      </w:r>
      <w:proofErr w:type="spellStart"/>
      <w:r w:rsidR="00431B92">
        <w:t>dgn</w:t>
      </w:r>
      <w:proofErr w:type="spellEnd"/>
      <w:r w:rsidR="00431B92">
        <w:t>, *.</w:t>
      </w:r>
      <w:proofErr w:type="spellStart"/>
      <w:r w:rsidR="00431B92">
        <w:t>pdf</w:t>
      </w:r>
      <w:proofErr w:type="spellEnd"/>
      <w:r w:rsidR="00431B92">
        <w:t xml:space="preserve"> – výkresová časť) na  USB nosiči</w:t>
      </w:r>
      <w:r w:rsidR="001700BF">
        <w:t>.</w:t>
      </w:r>
    </w:p>
    <w:p w14:paraId="0A99272B" w14:textId="65E249E0" w:rsidR="005701E6" w:rsidRDefault="00DA42EB" w:rsidP="00F930D4">
      <w:pPr>
        <w:ind w:firstLine="708"/>
        <w:jc w:val="both"/>
      </w:pPr>
      <w:r w:rsidRPr="00DA42EB">
        <w:rPr>
          <w:b/>
          <w:bCs/>
        </w:rPr>
        <w:t xml:space="preserve">Stanoviská dotknutých orgánov a vyjadrenia k projektovej </w:t>
      </w:r>
      <w:r w:rsidR="005701E6" w:rsidRPr="00DA42EB">
        <w:rPr>
          <w:b/>
          <w:bCs/>
        </w:rPr>
        <w:t>dokumentác</w:t>
      </w:r>
      <w:r w:rsidRPr="00DA42EB">
        <w:rPr>
          <w:b/>
          <w:bCs/>
        </w:rPr>
        <w:t>ií</w:t>
      </w:r>
      <w:r>
        <w:t xml:space="preserve"> budú </w:t>
      </w:r>
      <w:r w:rsidR="005701E6">
        <w:t>odovzdan</w:t>
      </w:r>
      <w:r>
        <w:t>é</w:t>
      </w:r>
      <w:r w:rsidR="005701E6">
        <w:t xml:space="preserve"> v jednom (1) vyhotoven</w:t>
      </w:r>
      <w:r w:rsidR="007A5BEB">
        <w:t>í</w:t>
      </w:r>
      <w:r w:rsidR="005701E6">
        <w:t xml:space="preserve"> v listinnej forme a v jednom (1) vyhotovení v elektronickej forme [( *.pdf – textová</w:t>
      </w:r>
      <w:r>
        <w:t xml:space="preserve"> a výkresová</w:t>
      </w:r>
      <w:r w:rsidR="005701E6">
        <w:t xml:space="preserve"> časť)</w:t>
      </w:r>
      <w:r w:rsidR="007A5BEB" w:rsidRPr="007A5BEB">
        <w:t xml:space="preserve"> </w:t>
      </w:r>
      <w:r w:rsidR="007A5BEB">
        <w:t>na  USB nosiči.</w:t>
      </w:r>
    </w:p>
    <w:p w14:paraId="48EFE2F8" w14:textId="4585FAAB" w:rsidR="00E51CDC" w:rsidRDefault="00E51CDC" w:rsidP="00E51CDC">
      <w:pPr>
        <w:ind w:firstLine="708"/>
        <w:jc w:val="both"/>
      </w:pPr>
      <w:r w:rsidRPr="00E51CDC">
        <w:rPr>
          <w:b/>
          <w:bCs/>
        </w:rPr>
        <w:t>Geodetické zameranie</w:t>
      </w:r>
      <w:r>
        <w:t xml:space="preserve"> - geodetický elaborát pred realizáciou tzv. vytýčenia hlavných bodov komunikačnej trasy a stavby vo vzťahu k vypracovaniu projektovej dokumentácie v súradnicovom systéme JTSK, odovzdanej ako súčasť projektovej dokumentácie.</w:t>
      </w:r>
    </w:p>
    <w:p w14:paraId="34281C35" w14:textId="35495E01" w:rsidR="00E51CDC" w:rsidRDefault="00E51CDC" w:rsidP="00E51CDC">
      <w:pPr>
        <w:ind w:firstLine="708"/>
        <w:jc w:val="both"/>
      </w:pPr>
      <w:r>
        <w:t xml:space="preserve">Vypracovanie a odovzdanie </w:t>
      </w:r>
      <w:r w:rsidRPr="00E51CDC">
        <w:rPr>
          <w:b/>
          <w:bCs/>
        </w:rPr>
        <w:t>geometrického plánu</w:t>
      </w:r>
      <w:r>
        <w:t xml:space="preserve"> po jednotlivých katastrálnych územiach (overenie príslušným katastrálnym úradom podľa § 9 zákona Národnej rady SR č. 215/1995 Z. z. o geodézii a kartografii v znení neskorších predpisov nie je podmienkou odovzdania geometrických plánov) na účely majetkovo právneho vysporiadania (vecných bremien) v troch (3) vyhotoveniach v listinnej forme a v jednom (1) vyhotovení v elektronickej forme.</w:t>
      </w:r>
    </w:p>
    <w:p w14:paraId="71164A02" w14:textId="061D24CB" w:rsidR="0069681F" w:rsidRPr="004860F0" w:rsidRDefault="004860F0" w:rsidP="004860F0">
      <w:pPr>
        <w:ind w:firstLine="708"/>
        <w:jc w:val="both"/>
        <w:rPr>
          <w:b/>
          <w:bCs/>
        </w:rPr>
      </w:pPr>
      <w:r w:rsidRPr="004860F0">
        <w:rPr>
          <w:b/>
          <w:bCs/>
        </w:rPr>
        <w:t>Vykonávanie odborného autorského dohľadu počas realizácie diela</w:t>
      </w:r>
    </w:p>
    <w:p w14:paraId="583FF187" w14:textId="0E6FB092" w:rsidR="00CD6A3E" w:rsidRPr="00CD6A3E" w:rsidRDefault="00CD6A3E" w:rsidP="00CD6A3E">
      <w:pPr>
        <w:ind w:firstLine="708"/>
        <w:jc w:val="both"/>
      </w:pPr>
      <w:r w:rsidRPr="00CD6A3E">
        <w:t xml:space="preserve">Zhotoviteľ bude vykonávať odborný autorský dohľad </w:t>
      </w:r>
      <w:r w:rsidR="00AD3585">
        <w:t xml:space="preserve">(ďalej len „AD“) </w:t>
      </w:r>
      <w:r w:rsidRPr="00CD6A3E">
        <w:t xml:space="preserve">počas realizácie diela v čase a v rozsahu podľa požiadavky objednávateľa. Rozsah výkonu AD bude vzájomne odsúhlasený protokolom a potvrdený zmluvnými stranami v autorskom denníku. </w:t>
      </w:r>
    </w:p>
    <w:p w14:paraId="5B7B08B6" w14:textId="121B459C" w:rsidR="0069681F" w:rsidRPr="00CD6A3E" w:rsidRDefault="00CD6A3E" w:rsidP="00CD6A3E">
      <w:pPr>
        <w:ind w:firstLine="708"/>
        <w:jc w:val="both"/>
      </w:pPr>
      <w:r w:rsidRPr="00CD6A3E">
        <w:t>Cenu za výkon AD uhradí objednávateľ mesačne na základe faktúr, vystavených zhotoviteľom po uplynutí príslušného kalendárneho mesiaca, v ktorom bol AD realizovaný a to na základe hodín a výkonov, odsúhlasených zodpovedným zamestnancom objednávateľa v denníku AD. Denník AD je povinný viesť zhotoviteľ. Prílohou faktúry musí byť kópia dokumentu, z ktorého bude zrejmý odsúhlasený rozsah fakturovaných hodín a</w:t>
      </w:r>
      <w:r w:rsidR="00AD3585">
        <w:t> </w:t>
      </w:r>
      <w:r w:rsidRPr="00CD6A3E">
        <w:t>výkonov</w:t>
      </w:r>
      <w:r w:rsidR="00AD3585">
        <w:t>.</w:t>
      </w:r>
    </w:p>
    <w:p w14:paraId="03F78C88" w14:textId="13E1545D" w:rsidR="0069681F" w:rsidRPr="0031018F" w:rsidRDefault="0069681F" w:rsidP="00F930D4">
      <w:pPr>
        <w:jc w:val="both"/>
        <w:rPr>
          <w:b/>
          <w:bCs/>
          <w:u w:val="single"/>
        </w:rPr>
      </w:pPr>
      <w:r w:rsidRPr="0031018F">
        <w:rPr>
          <w:b/>
          <w:bCs/>
          <w:u w:val="single"/>
        </w:rPr>
        <w:lastRenderedPageBreak/>
        <w:t>Návrh požadovaného technického riešenia stavby:</w:t>
      </w:r>
    </w:p>
    <w:p w14:paraId="6D447B30" w14:textId="37D6C075" w:rsidR="0098008D" w:rsidRPr="00233A5A" w:rsidRDefault="0098008D" w:rsidP="00F930D4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color w:val="000000" w:themeColor="text1"/>
        </w:rPr>
      </w:pPr>
      <w:r w:rsidRPr="00233A5A">
        <w:rPr>
          <w:color w:val="000000" w:themeColor="text1"/>
        </w:rPr>
        <w:t>vypracovať projektovú prípravu komunikačných trás (optickej a metalickej) pre vzájomné prepojenie uzlových bodov (ďalej už len „UB“), dotknutých výmenníkových staníc tepla (ďalej len „OST“), šachiet (ďalej len „Š“), odbytových meračov tepla (ďalej len „ODM“) a systému monitorovania teplôt a prístupov:</w:t>
      </w:r>
    </w:p>
    <w:p w14:paraId="7736CF07" w14:textId="766DDFE3" w:rsidR="0098008D" w:rsidRPr="0098008D" w:rsidRDefault="0098008D" w:rsidP="00F930D4">
      <w:pPr>
        <w:pStyle w:val="Odsekzoznamu"/>
        <w:numPr>
          <w:ilvl w:val="0"/>
          <w:numId w:val="7"/>
        </w:numPr>
        <w:spacing w:after="120" w:line="276" w:lineRule="auto"/>
        <w:jc w:val="both"/>
        <w:rPr>
          <w:color w:val="000000" w:themeColor="text1"/>
        </w:rPr>
      </w:pPr>
      <w:r w:rsidRPr="0098008D">
        <w:rPr>
          <w:color w:val="000000" w:themeColor="text1"/>
        </w:rPr>
        <w:t>vetva UB1101-UB1201 vrátane napojenia Š11010, Š10080, Š10070, Š10060, Š10050, Š10040, Š10030, Š10020, Š12010 po trase. Pri návrhu je nutné využiť existujúci metalický kábel v úsekoch UB1101-Š10060 (TCEPKPFLE) s obmedzeným počtom liniek v úsekoch Š11010-Š10060 až po prechod horúcovodu do vzdušného vedenia a Š10050-UB1201. Zároveň je potrebné využiť predpripravenú chráničku pre optický kábel v úseku Š11010-Š10060 až po prechod horúco-vodu do vzdušného vedenia. V úseku Š10050-Š12010 je nutné využiť existujúci metalický kábel (TCEPKPFLE) s obmedzeným počtom liniek je predpripravená chránička pre optický kábel s prerušeniami, ktorú je možné využiť. Optický kábel nemusí pri realizácií prechádzať cez šachty etapy. Zároveň je nutné realizovať aj metalické prepojenia Š11010-UB1101 a Š12010-UB1201 s ukončením kábla podľa špecifikácie viď nižšie</w:t>
      </w:r>
      <w:r w:rsidR="00B7374A">
        <w:rPr>
          <w:color w:val="000000" w:themeColor="text1"/>
        </w:rPr>
        <w:t xml:space="preserve"> (bod 3.)</w:t>
      </w:r>
      <w:r w:rsidR="00531276">
        <w:rPr>
          <w:color w:val="000000" w:themeColor="text1"/>
        </w:rPr>
        <w:t>,</w:t>
      </w:r>
    </w:p>
    <w:p w14:paraId="0CB143A5" w14:textId="24F242B4" w:rsidR="0098008D" w:rsidRPr="0098008D" w:rsidRDefault="0098008D" w:rsidP="00F930D4">
      <w:pPr>
        <w:pStyle w:val="Odsekzoznamu"/>
        <w:numPr>
          <w:ilvl w:val="0"/>
          <w:numId w:val="7"/>
        </w:numPr>
        <w:spacing w:after="120" w:line="276" w:lineRule="auto"/>
        <w:jc w:val="both"/>
        <w:rPr>
          <w:color w:val="000000" w:themeColor="text1"/>
        </w:rPr>
      </w:pPr>
      <w:r w:rsidRPr="0098008D">
        <w:rPr>
          <w:color w:val="000000" w:themeColor="text1"/>
        </w:rPr>
        <w:t>vetva UB1101-UB1601 vrátane napojenia Š11010, Š11015, Š11016, Š11020 a Š11050, Š11055, Š11060, Š11070, Š11080, Š11090, Š11100, Š11110, Š11120, Š11125, Š11030, Š11040). Pri návrhu je nutné využiť existujúci metalický kábel (TCEPKPFLE) s obmedzeným počtom liniek v úsekoch v úsekoch Š11010-Š11020, Š11025-Š11060 a existujúci optický kábel v úseku UB1101-FNSP</w:t>
      </w:r>
      <w:r w:rsidR="00BE055B">
        <w:rPr>
          <w:color w:val="000000" w:themeColor="text1"/>
        </w:rPr>
        <w:t xml:space="preserve"> (Fakultná nemocnica s poliklinikou)</w:t>
      </w:r>
      <w:r w:rsidRPr="0098008D">
        <w:rPr>
          <w:color w:val="000000" w:themeColor="text1"/>
        </w:rPr>
        <w:t>. Predmetom projektu je napojenie komunikačných trás v Š11050 (nadzemná časť) a ich pokračovanie do UB1601. Za účelom napojenia optickej trasy je nutné realizovať preloženie ukončenia optickej trasy z FNSP do nadzemný plechového objektu pri Š11050 (nadzemná časť). Optický kábel nemusí pri realizácií prechádzať cez šachty etapy. Zároveň je nutné realizovať aj metalické prepojenie Š16010-UB1601 s ukončením kábla podľa špecifikácie viď nižšie</w:t>
      </w:r>
      <w:r w:rsidR="00D8657F">
        <w:rPr>
          <w:color w:val="000000" w:themeColor="text1"/>
        </w:rPr>
        <w:t xml:space="preserve"> (bod 3.)</w:t>
      </w:r>
      <w:r w:rsidRPr="0098008D">
        <w:rPr>
          <w:color w:val="000000" w:themeColor="text1"/>
        </w:rPr>
        <w:t xml:space="preserve">. Predmetom je aj položenie samostatnej optiky </w:t>
      </w:r>
      <w:r w:rsidR="00A9750C">
        <w:rPr>
          <w:color w:val="000000" w:themeColor="text1"/>
        </w:rPr>
        <w:t xml:space="preserve">medzi </w:t>
      </w:r>
      <w:r w:rsidRPr="0098008D">
        <w:rPr>
          <w:color w:val="000000" w:themeColor="text1"/>
        </w:rPr>
        <w:t xml:space="preserve">UB1601-Š11110 </w:t>
      </w:r>
      <w:r w:rsidR="00A9750C">
        <w:rPr>
          <w:color w:val="000000" w:themeColor="text1"/>
        </w:rPr>
        <w:t xml:space="preserve">podľa </w:t>
      </w:r>
      <w:r w:rsidR="00A9750C" w:rsidRPr="0098008D">
        <w:rPr>
          <w:color w:val="000000" w:themeColor="text1"/>
        </w:rPr>
        <w:t>špecifikácie viď nižšie</w:t>
      </w:r>
      <w:r w:rsidR="00A9750C">
        <w:rPr>
          <w:color w:val="000000" w:themeColor="text1"/>
        </w:rPr>
        <w:t xml:space="preserve"> (bod 2.)</w:t>
      </w:r>
      <w:r w:rsidR="00531276">
        <w:rPr>
          <w:color w:val="000000" w:themeColor="text1"/>
        </w:rPr>
        <w:t>,</w:t>
      </w:r>
    </w:p>
    <w:p w14:paraId="077CCD6A" w14:textId="4349B08E" w:rsidR="0098008D" w:rsidRPr="0098008D" w:rsidRDefault="0098008D" w:rsidP="00F930D4">
      <w:pPr>
        <w:pStyle w:val="Odsekzoznamu"/>
        <w:numPr>
          <w:ilvl w:val="0"/>
          <w:numId w:val="7"/>
        </w:numPr>
        <w:spacing w:after="120" w:line="276" w:lineRule="auto"/>
        <w:jc w:val="both"/>
        <w:rPr>
          <w:color w:val="000000" w:themeColor="text1"/>
        </w:rPr>
      </w:pPr>
      <w:r w:rsidRPr="0098008D">
        <w:rPr>
          <w:color w:val="000000" w:themeColor="text1"/>
        </w:rPr>
        <w:t xml:space="preserve">vetva Š11020-Š110 a Š11020-Š120 vrátane napojenia Š11020-Š115 a Š11020-Š130, Š-UVŠ. Predmetom projektu je realizovanie iba metalickej trasy. </w:t>
      </w:r>
    </w:p>
    <w:p w14:paraId="3F64CFB3" w14:textId="52B35851" w:rsidR="0098008D" w:rsidRDefault="0098008D" w:rsidP="00F930D4">
      <w:pPr>
        <w:pStyle w:val="Odsekzoznamu"/>
        <w:numPr>
          <w:ilvl w:val="0"/>
          <w:numId w:val="7"/>
        </w:numPr>
        <w:spacing w:after="120" w:line="276" w:lineRule="auto"/>
        <w:jc w:val="both"/>
        <w:rPr>
          <w:color w:val="000000" w:themeColor="text1"/>
        </w:rPr>
      </w:pPr>
      <w:r w:rsidRPr="0098008D">
        <w:rPr>
          <w:color w:val="000000" w:themeColor="text1"/>
        </w:rPr>
        <w:t>vetva UB1301-Š13010. Predmetom projektu je realizovanie iba metalickej trasy a chráničky pre optiku</w:t>
      </w:r>
      <w:r w:rsidR="00683552">
        <w:rPr>
          <w:color w:val="000000" w:themeColor="text1"/>
        </w:rPr>
        <w:t>.</w:t>
      </w:r>
    </w:p>
    <w:p w14:paraId="5A52F369" w14:textId="1198F8DB" w:rsidR="00233A5A" w:rsidRPr="00233A5A" w:rsidRDefault="004D40F2" w:rsidP="00F930D4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color w:val="000000" w:themeColor="text1"/>
        </w:rPr>
      </w:pPr>
      <w:r>
        <w:rPr>
          <w:rFonts w:cstheme="minorHAnsi"/>
          <w:color w:val="201F1E"/>
        </w:rPr>
        <w:t xml:space="preserve">navrhnúť </w:t>
      </w:r>
      <w:r w:rsidR="00233A5A">
        <w:rPr>
          <w:rFonts w:cstheme="minorHAnsi"/>
          <w:color w:val="201F1E"/>
        </w:rPr>
        <w:t>optick</w:t>
      </w:r>
      <w:r w:rsidR="006813A6">
        <w:rPr>
          <w:rFonts w:cstheme="minorHAnsi"/>
          <w:color w:val="201F1E"/>
        </w:rPr>
        <w:t>ú</w:t>
      </w:r>
      <w:r w:rsidR="00233A5A">
        <w:rPr>
          <w:rFonts w:cstheme="minorHAnsi"/>
          <w:color w:val="201F1E"/>
        </w:rPr>
        <w:t xml:space="preserve"> tras</w:t>
      </w:r>
      <w:r w:rsidR="006813A6">
        <w:rPr>
          <w:rFonts w:cstheme="minorHAnsi"/>
          <w:color w:val="201F1E"/>
        </w:rPr>
        <w:t>u</w:t>
      </w:r>
      <w:r w:rsidR="00233A5A">
        <w:rPr>
          <w:rFonts w:cstheme="minorHAnsi"/>
          <w:color w:val="201F1E"/>
        </w:rPr>
        <w:t xml:space="preserve"> (48 vláknový) zafúknut</w:t>
      </w:r>
      <w:r>
        <w:rPr>
          <w:rFonts w:cstheme="minorHAnsi"/>
          <w:color w:val="201F1E"/>
        </w:rPr>
        <w:t>ú</w:t>
      </w:r>
      <w:r w:rsidR="00233A5A">
        <w:rPr>
          <w:rFonts w:cstheme="minorHAnsi"/>
          <w:color w:val="201F1E"/>
        </w:rPr>
        <w:t xml:space="preserve"> do HDPE </w:t>
      </w:r>
      <w:proofErr w:type="spellStart"/>
      <w:r w:rsidR="00233A5A">
        <w:rPr>
          <w:rFonts w:cstheme="minorHAnsi"/>
          <w:color w:val="201F1E"/>
        </w:rPr>
        <w:t>multirúry</w:t>
      </w:r>
      <w:proofErr w:type="spellEnd"/>
      <w:r w:rsidR="00233A5A">
        <w:rPr>
          <w:rFonts w:cstheme="minorHAnsi"/>
          <w:color w:val="201F1E"/>
        </w:rPr>
        <w:t xml:space="preserve"> (v dodanej </w:t>
      </w:r>
      <w:proofErr w:type="spellStart"/>
      <w:r w:rsidR="00233A5A">
        <w:rPr>
          <w:rFonts w:cstheme="minorHAnsi"/>
          <w:color w:val="201F1E"/>
        </w:rPr>
        <w:t>multirúre</w:t>
      </w:r>
      <w:proofErr w:type="spellEnd"/>
      <w:r w:rsidR="00233A5A">
        <w:rPr>
          <w:rFonts w:cstheme="minorHAnsi"/>
          <w:color w:val="201F1E"/>
        </w:rPr>
        <w:t xml:space="preserve"> musí ostať rezerva minimálne 3 voľných </w:t>
      </w:r>
      <w:proofErr w:type="spellStart"/>
      <w:r w:rsidR="00233A5A">
        <w:rPr>
          <w:rFonts w:cstheme="minorHAnsi"/>
          <w:color w:val="201F1E"/>
        </w:rPr>
        <w:t>mikrotrubičiek</w:t>
      </w:r>
      <w:proofErr w:type="spellEnd"/>
      <w:r w:rsidR="00233A5A">
        <w:rPr>
          <w:rFonts w:cstheme="minorHAnsi"/>
          <w:color w:val="201F1E"/>
        </w:rPr>
        <w:t xml:space="preserve">) medzi objektami UB bez prerušenia, káble ukončiť na patch-paneli v prevedení do 19“ </w:t>
      </w:r>
      <w:proofErr w:type="spellStart"/>
      <w:r w:rsidR="00233A5A">
        <w:rPr>
          <w:rFonts w:cstheme="minorHAnsi"/>
          <w:color w:val="201F1E"/>
        </w:rPr>
        <w:t>rack</w:t>
      </w:r>
      <w:proofErr w:type="spellEnd"/>
      <w:r w:rsidR="00233A5A">
        <w:rPr>
          <w:rFonts w:cstheme="minorHAnsi"/>
          <w:color w:val="201F1E"/>
        </w:rPr>
        <w:t xml:space="preserve">-u v komunikačnom </w:t>
      </w:r>
      <w:proofErr w:type="spellStart"/>
      <w:r w:rsidR="00233A5A">
        <w:rPr>
          <w:rFonts w:cstheme="minorHAnsi"/>
          <w:color w:val="201F1E"/>
        </w:rPr>
        <w:t>rack</w:t>
      </w:r>
      <w:proofErr w:type="spellEnd"/>
      <w:r w:rsidR="00233A5A">
        <w:rPr>
          <w:rFonts w:cstheme="minorHAnsi"/>
          <w:color w:val="201F1E"/>
        </w:rPr>
        <w:t>-u UB s ukončením na SC</w:t>
      </w:r>
      <w:r w:rsidR="00233A5A">
        <w:rPr>
          <w:rFonts w:cstheme="minorHAnsi"/>
          <w:color w:val="201F1E"/>
          <w:lang w:val="en-US"/>
        </w:rPr>
        <w:t>/</w:t>
      </w:r>
      <w:r w:rsidR="00233A5A">
        <w:rPr>
          <w:rFonts w:cstheme="minorHAnsi"/>
          <w:color w:val="201F1E"/>
        </w:rPr>
        <w:t>APC konektoroch, dodať 30 ks prepojovacích optických káblov rôznych dĺžok pre prepojenie v rozvádzačoch UB,</w:t>
      </w:r>
    </w:p>
    <w:p w14:paraId="36278BBE" w14:textId="334EF0C6" w:rsidR="00233A5A" w:rsidRPr="00233A5A" w:rsidRDefault="002C50B2" w:rsidP="00F930D4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color w:val="000000" w:themeColor="text1"/>
        </w:rPr>
      </w:pPr>
      <w:r>
        <w:rPr>
          <w:rFonts w:cstheme="minorHAnsi"/>
          <w:color w:val="201F1E"/>
        </w:rPr>
        <w:t xml:space="preserve">navrhnúť </w:t>
      </w:r>
      <w:r w:rsidR="00233A5A">
        <w:rPr>
          <w:rFonts w:cstheme="minorHAnsi"/>
          <w:color w:val="201F1E"/>
        </w:rPr>
        <w:t>metalick</w:t>
      </w:r>
      <w:r>
        <w:rPr>
          <w:rFonts w:cstheme="minorHAnsi"/>
          <w:color w:val="201F1E"/>
        </w:rPr>
        <w:t>ú</w:t>
      </w:r>
      <w:r w:rsidR="00233A5A">
        <w:rPr>
          <w:rFonts w:cstheme="minorHAnsi"/>
          <w:color w:val="201F1E"/>
        </w:rPr>
        <w:t xml:space="preserve"> tras</w:t>
      </w:r>
      <w:r>
        <w:rPr>
          <w:rFonts w:cstheme="minorHAnsi"/>
          <w:color w:val="201F1E"/>
        </w:rPr>
        <w:t>u</w:t>
      </w:r>
      <w:r w:rsidR="00233A5A">
        <w:rPr>
          <w:rFonts w:cstheme="minorHAnsi"/>
          <w:color w:val="201F1E"/>
        </w:rPr>
        <w:t xml:space="preserve"> (použitý kábel </w:t>
      </w:r>
      <w:r w:rsidR="00233A5A" w:rsidRPr="00590161">
        <w:rPr>
          <w:rFonts w:cstheme="minorHAnsi"/>
          <w:color w:val="201F1E"/>
        </w:rPr>
        <w:t xml:space="preserve">TCEPKPFLE </w:t>
      </w:r>
      <w:r w:rsidR="00233A5A">
        <w:rPr>
          <w:rFonts w:cstheme="minorHAnsi"/>
          <w:color w:val="201F1E"/>
        </w:rPr>
        <w:t>10</w:t>
      </w:r>
      <w:r w:rsidR="00233A5A" w:rsidRPr="00590161">
        <w:rPr>
          <w:rFonts w:cstheme="minorHAnsi"/>
          <w:color w:val="201F1E"/>
        </w:rPr>
        <w:t>x4x0,8</w:t>
      </w:r>
      <w:r w:rsidR="00233A5A">
        <w:rPr>
          <w:rFonts w:cstheme="minorHAnsi"/>
          <w:color w:val="201F1E"/>
        </w:rPr>
        <w:t xml:space="preserve">) v ochrannej HDPE </w:t>
      </w:r>
      <w:proofErr w:type="spellStart"/>
      <w:r w:rsidR="00233A5A">
        <w:rPr>
          <w:rFonts w:cstheme="minorHAnsi"/>
          <w:color w:val="201F1E"/>
        </w:rPr>
        <w:t>multirúre</w:t>
      </w:r>
      <w:proofErr w:type="spellEnd"/>
      <w:r w:rsidR="00233A5A">
        <w:rPr>
          <w:rFonts w:cstheme="minorHAnsi"/>
          <w:color w:val="201F1E"/>
        </w:rPr>
        <w:t xml:space="preserve"> (v dodanej </w:t>
      </w:r>
      <w:proofErr w:type="spellStart"/>
      <w:r w:rsidR="00233A5A">
        <w:rPr>
          <w:rFonts w:cstheme="minorHAnsi"/>
          <w:color w:val="201F1E"/>
        </w:rPr>
        <w:t>multirúre</w:t>
      </w:r>
      <w:proofErr w:type="spellEnd"/>
      <w:r w:rsidR="00233A5A">
        <w:rPr>
          <w:rFonts w:cstheme="minorHAnsi"/>
          <w:color w:val="201F1E"/>
        </w:rPr>
        <w:t xml:space="preserve"> musí ostať rezerva minimálne 1 voľná </w:t>
      </w:r>
      <w:proofErr w:type="spellStart"/>
      <w:r w:rsidR="00233A5A">
        <w:rPr>
          <w:rFonts w:cstheme="minorHAnsi"/>
          <w:color w:val="201F1E"/>
        </w:rPr>
        <w:t>mikrotrubička</w:t>
      </w:r>
      <w:proofErr w:type="spellEnd"/>
      <w:r w:rsidR="00233A5A">
        <w:rPr>
          <w:rFonts w:cstheme="minorHAnsi"/>
          <w:color w:val="201F1E"/>
        </w:rPr>
        <w:t xml:space="preserve">) paralelne s optickou </w:t>
      </w:r>
      <w:r w:rsidR="00233A5A" w:rsidRPr="004D3154">
        <w:rPr>
          <w:rFonts w:cstheme="minorHAnsi"/>
          <w:color w:val="201F1E"/>
        </w:rPr>
        <w:t>trasou s odbočkami v miestach priebežných šachiet po trase (v rozsahu</w:t>
      </w:r>
      <w:r w:rsidR="00233A5A">
        <w:rPr>
          <w:rFonts w:cstheme="minorHAnsi"/>
          <w:color w:val="201F1E"/>
        </w:rPr>
        <w:t xml:space="preserve"> podľa bodu 1) ukončenú v rozvádzačoch UB a v každej priebežnej šachte na </w:t>
      </w:r>
      <w:r w:rsidR="00233A5A" w:rsidRPr="00590161">
        <w:rPr>
          <w:rFonts w:cstheme="minorHAnsi"/>
          <w:color w:val="201F1E"/>
        </w:rPr>
        <w:t>káblovo</w:t>
      </w:r>
      <w:r w:rsidR="00233A5A">
        <w:rPr>
          <w:rFonts w:cstheme="minorHAnsi"/>
          <w:color w:val="201F1E"/>
        </w:rPr>
        <w:t>m</w:t>
      </w:r>
      <w:r w:rsidR="00233A5A" w:rsidRPr="00590161">
        <w:rPr>
          <w:rFonts w:cstheme="minorHAnsi"/>
          <w:color w:val="201F1E"/>
        </w:rPr>
        <w:t xml:space="preserve"> uzáver</w:t>
      </w:r>
      <w:r w:rsidR="00233A5A">
        <w:rPr>
          <w:rFonts w:cstheme="minorHAnsi"/>
          <w:color w:val="201F1E"/>
        </w:rPr>
        <w:t>e</w:t>
      </w:r>
      <w:r w:rsidR="00233A5A" w:rsidRPr="00590161">
        <w:rPr>
          <w:rFonts w:cstheme="minorHAnsi"/>
          <w:color w:val="201F1E"/>
        </w:rPr>
        <w:t xml:space="preserve"> </w:t>
      </w:r>
      <w:proofErr w:type="spellStart"/>
      <w:r w:rsidR="00233A5A" w:rsidRPr="00590161">
        <w:rPr>
          <w:rFonts w:cstheme="minorHAnsi"/>
          <w:color w:val="201F1E"/>
        </w:rPr>
        <w:t>Krone</w:t>
      </w:r>
      <w:proofErr w:type="spellEnd"/>
      <w:r w:rsidR="00233A5A" w:rsidRPr="00590161">
        <w:rPr>
          <w:rFonts w:cstheme="minorHAnsi"/>
          <w:color w:val="201F1E"/>
        </w:rPr>
        <w:t xml:space="preserve"> </w:t>
      </w:r>
      <w:r w:rsidR="00233A5A">
        <w:rPr>
          <w:rFonts w:cstheme="minorHAnsi"/>
          <w:color w:val="201F1E"/>
        </w:rPr>
        <w:t>Box 50</w:t>
      </w:r>
      <w:r w:rsidR="00233A5A" w:rsidRPr="00590161">
        <w:rPr>
          <w:rFonts w:cstheme="minorHAnsi"/>
          <w:color w:val="201F1E"/>
        </w:rPr>
        <w:t xml:space="preserve"> </w:t>
      </w:r>
      <w:r w:rsidR="00233A5A">
        <w:rPr>
          <w:rFonts w:cstheme="minorHAnsi"/>
          <w:color w:val="201F1E"/>
        </w:rPr>
        <w:t xml:space="preserve">na držiakoch </w:t>
      </w:r>
      <w:proofErr w:type="spellStart"/>
      <w:r w:rsidR="00233A5A">
        <w:rPr>
          <w:rFonts w:cstheme="minorHAnsi"/>
          <w:color w:val="201F1E"/>
        </w:rPr>
        <w:t>Krone</w:t>
      </w:r>
      <w:proofErr w:type="spellEnd"/>
      <w:r w:rsidR="00233A5A">
        <w:rPr>
          <w:rFonts w:cstheme="minorHAnsi"/>
          <w:color w:val="201F1E"/>
        </w:rPr>
        <w:t xml:space="preserve"> </w:t>
      </w:r>
      <w:r w:rsidR="00233A5A" w:rsidRPr="00694058">
        <w:rPr>
          <w:rFonts w:cstheme="minorHAnsi"/>
          <w:color w:val="201F1E"/>
        </w:rPr>
        <w:t>v exteriérovom prevedení s držiakom pre 50 párov + 5× napojovacia lišta pre každý uzáver</w:t>
      </w:r>
      <w:r w:rsidR="00233A5A">
        <w:rPr>
          <w:rFonts w:cstheme="minorHAnsi"/>
          <w:color w:val="201F1E"/>
        </w:rPr>
        <w:t xml:space="preserve">. </w:t>
      </w:r>
      <w:r w:rsidR="005D531F">
        <w:rPr>
          <w:rFonts w:cstheme="minorHAnsi"/>
          <w:color w:val="201F1E"/>
        </w:rPr>
        <w:t>S</w:t>
      </w:r>
      <w:r w:rsidR="00233A5A">
        <w:rPr>
          <w:rFonts w:cstheme="minorHAnsi"/>
          <w:color w:val="201F1E"/>
        </w:rPr>
        <w:t>amostatn</w:t>
      </w:r>
      <w:r w:rsidR="005D531F">
        <w:rPr>
          <w:rFonts w:cstheme="minorHAnsi"/>
          <w:color w:val="201F1E"/>
        </w:rPr>
        <w:t>á</w:t>
      </w:r>
      <w:r w:rsidR="00233A5A">
        <w:rPr>
          <w:rFonts w:cstheme="minorHAnsi"/>
          <w:color w:val="201F1E"/>
        </w:rPr>
        <w:t xml:space="preserve"> metalick</w:t>
      </w:r>
      <w:r w:rsidR="005D531F">
        <w:rPr>
          <w:rFonts w:cstheme="minorHAnsi"/>
          <w:color w:val="201F1E"/>
        </w:rPr>
        <w:t>á</w:t>
      </w:r>
      <w:r w:rsidR="00233A5A">
        <w:rPr>
          <w:rFonts w:cstheme="minorHAnsi"/>
          <w:color w:val="201F1E"/>
        </w:rPr>
        <w:t xml:space="preserve"> tras</w:t>
      </w:r>
      <w:r w:rsidR="005D531F">
        <w:rPr>
          <w:rFonts w:cstheme="minorHAnsi"/>
          <w:color w:val="201F1E"/>
        </w:rPr>
        <w:t>a</w:t>
      </w:r>
      <w:r w:rsidR="00233A5A">
        <w:rPr>
          <w:rFonts w:cstheme="minorHAnsi"/>
          <w:color w:val="201F1E"/>
        </w:rPr>
        <w:t xml:space="preserve"> medzi nadzemným objektom (UB) a priľahlou šachtou </w:t>
      </w:r>
      <w:r w:rsidR="00A8023B">
        <w:rPr>
          <w:rFonts w:cstheme="minorHAnsi"/>
          <w:color w:val="201F1E"/>
        </w:rPr>
        <w:t xml:space="preserve">bude riešená </w:t>
      </w:r>
      <w:r w:rsidR="00233A5A">
        <w:rPr>
          <w:rFonts w:cstheme="minorHAnsi"/>
          <w:color w:val="201F1E"/>
        </w:rPr>
        <w:t xml:space="preserve">podľa požiadaviek v predchádzajúcich bodoch. Dodaná HDPE </w:t>
      </w:r>
      <w:proofErr w:type="spellStart"/>
      <w:r w:rsidR="00233A5A">
        <w:rPr>
          <w:rFonts w:cstheme="minorHAnsi"/>
          <w:color w:val="201F1E"/>
        </w:rPr>
        <w:t>multirúra</w:t>
      </w:r>
      <w:proofErr w:type="spellEnd"/>
      <w:r w:rsidR="00233A5A">
        <w:rPr>
          <w:rFonts w:cstheme="minorHAnsi"/>
          <w:color w:val="201F1E"/>
        </w:rPr>
        <w:t xml:space="preserve"> bude mať realizované odbočky v miestach komunikačných uzlov v šachtách</w:t>
      </w:r>
      <w:r w:rsidR="00233A5A" w:rsidRPr="00472126">
        <w:rPr>
          <w:rFonts w:cstheme="minorHAnsi"/>
          <w:color w:val="201F1E"/>
        </w:rPr>
        <w:t xml:space="preserve"> </w:t>
      </w:r>
      <w:r w:rsidR="00233A5A">
        <w:rPr>
          <w:rFonts w:cstheme="minorHAnsi"/>
          <w:color w:val="201F1E"/>
        </w:rPr>
        <w:t>Š11050 a Š11110,</w:t>
      </w:r>
    </w:p>
    <w:p w14:paraId="20AB91A5" w14:textId="61E80476" w:rsidR="00233A5A" w:rsidRPr="0036459F" w:rsidRDefault="0036459F" w:rsidP="00F930D4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color w:val="000000" w:themeColor="text1"/>
        </w:rPr>
      </w:pPr>
      <w:r>
        <w:rPr>
          <w:rFonts w:cstheme="minorHAnsi"/>
          <w:color w:val="201F1E"/>
        </w:rPr>
        <w:lastRenderedPageBreak/>
        <w:t xml:space="preserve">káble v zemi, šachtách a popr. kanáloch </w:t>
      </w:r>
      <w:r w:rsidR="00514589">
        <w:rPr>
          <w:rFonts w:cstheme="minorHAnsi"/>
          <w:color w:val="201F1E"/>
        </w:rPr>
        <w:t>budú uložené</w:t>
      </w:r>
      <w:r>
        <w:rPr>
          <w:rFonts w:cstheme="minorHAnsi"/>
          <w:color w:val="201F1E"/>
        </w:rPr>
        <w:t xml:space="preserve"> podľa platných noriem a predpisov, vedenie káblov v šachtách a kanáloch musí byť v na to vybudovaných chráničkách </w:t>
      </w:r>
      <w:r w:rsidRPr="00694058">
        <w:rPr>
          <w:rFonts w:cstheme="minorHAnsi"/>
          <w:color w:val="201F1E"/>
        </w:rPr>
        <w:t>upevnených na stene šachiet</w:t>
      </w:r>
      <w:r>
        <w:rPr>
          <w:rFonts w:cstheme="minorHAnsi"/>
          <w:color w:val="201F1E"/>
        </w:rPr>
        <w:t>, lávkach alebo žľaboch, ktoré neobmedzia pohyb a činnosti pri opravách a údržbe,</w:t>
      </w:r>
    </w:p>
    <w:p w14:paraId="3DDA2232" w14:textId="1526F011" w:rsidR="0036459F" w:rsidRPr="00841976" w:rsidRDefault="0036459F" w:rsidP="00F930D4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color w:val="000000" w:themeColor="text1"/>
        </w:rPr>
      </w:pPr>
      <w:r>
        <w:rPr>
          <w:rFonts w:cstheme="minorHAnsi"/>
          <w:color w:val="201F1E"/>
        </w:rPr>
        <w:t xml:space="preserve">trasy </w:t>
      </w:r>
      <w:r w:rsidR="004777D2">
        <w:rPr>
          <w:rFonts w:cstheme="minorHAnsi"/>
          <w:color w:val="201F1E"/>
        </w:rPr>
        <w:t>navrhnúť</w:t>
      </w:r>
      <w:r>
        <w:rPr>
          <w:rFonts w:cstheme="minorHAnsi"/>
          <w:color w:val="201F1E"/>
        </w:rPr>
        <w:t xml:space="preserve"> výhradne uložen</w:t>
      </w:r>
      <w:r w:rsidR="00CD22BB">
        <w:rPr>
          <w:rFonts w:cstheme="minorHAnsi"/>
          <w:color w:val="201F1E"/>
        </w:rPr>
        <w:t>é</w:t>
      </w:r>
      <w:r>
        <w:rPr>
          <w:rFonts w:cstheme="minorHAnsi"/>
          <w:color w:val="201F1E"/>
        </w:rPr>
        <w:t xml:space="preserve"> do výkopu alebo pretláčaním. Prechody káblov z exteriéru do interiéru objektov (šachty, kanály a pod.) musia byť nedostupné s vyústením káblov výhradne vo vnútri stavebných objektov alebo pod zemou</w:t>
      </w:r>
      <w:r w:rsidR="00841976">
        <w:rPr>
          <w:rFonts w:cstheme="minorHAnsi"/>
          <w:color w:val="201F1E"/>
        </w:rPr>
        <w:t>,</w:t>
      </w:r>
    </w:p>
    <w:p w14:paraId="3EC9C848" w14:textId="749D4E4F" w:rsidR="00841976" w:rsidRPr="00841976" w:rsidRDefault="00841976" w:rsidP="00F930D4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color w:val="000000" w:themeColor="text1"/>
        </w:rPr>
      </w:pPr>
      <w:r w:rsidRPr="004D3154">
        <w:rPr>
          <w:rFonts w:cstheme="minorHAnsi"/>
          <w:color w:val="201F1E"/>
        </w:rPr>
        <w:t xml:space="preserve">na miestach prístupu do kanálov, </w:t>
      </w:r>
      <w:r w:rsidRPr="00776EDF">
        <w:rPr>
          <w:rFonts w:cstheme="minorHAnsi"/>
          <w:color w:val="201F1E"/>
        </w:rPr>
        <w:t xml:space="preserve">šachiet a iných objektov súvisiacich s vedením káblov, </w:t>
      </w:r>
      <w:r w:rsidR="004777D2">
        <w:rPr>
          <w:rFonts w:cstheme="minorHAnsi"/>
          <w:color w:val="201F1E"/>
        </w:rPr>
        <w:t xml:space="preserve">navrhnúť </w:t>
      </w:r>
      <w:r w:rsidR="008D2E48">
        <w:rPr>
          <w:rFonts w:cstheme="minorHAnsi"/>
          <w:color w:val="201F1E"/>
        </w:rPr>
        <w:t>snímače</w:t>
      </w:r>
      <w:r w:rsidRPr="00776EDF">
        <w:rPr>
          <w:rFonts w:cstheme="minorHAnsi"/>
          <w:color w:val="201F1E"/>
        </w:rPr>
        <w:t xml:space="preserve"> prístupu do priestoru</w:t>
      </w:r>
      <w:r>
        <w:rPr>
          <w:rFonts w:cstheme="minorHAnsi"/>
          <w:color w:val="201F1E"/>
        </w:rPr>
        <w:t>,</w:t>
      </w:r>
    </w:p>
    <w:p w14:paraId="5D5F52E7" w14:textId="61E88B78" w:rsidR="00841976" w:rsidRPr="0088419B" w:rsidRDefault="00841976" w:rsidP="00F930D4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color w:val="000000" w:themeColor="text1"/>
        </w:rPr>
      </w:pPr>
      <w:r>
        <w:rPr>
          <w:rFonts w:cstheme="minorHAnsi"/>
          <w:color w:val="201F1E"/>
        </w:rPr>
        <w:t xml:space="preserve">v šachtách Š11050 a Š11110 </w:t>
      </w:r>
      <w:r w:rsidR="004E6A50">
        <w:rPr>
          <w:rFonts w:cstheme="minorHAnsi"/>
          <w:color w:val="201F1E"/>
        </w:rPr>
        <w:t xml:space="preserve">navrhnúť </w:t>
      </w:r>
      <w:r>
        <w:rPr>
          <w:rFonts w:cstheme="minorHAnsi"/>
          <w:color w:val="201F1E"/>
        </w:rPr>
        <w:t xml:space="preserve">komunikačné uzly vo forme rozvádzača ako ukončovacieho miesta pre káblové hlavy metalických káblov, patch panely optických káblov, </w:t>
      </w:r>
      <w:proofErr w:type="spellStart"/>
      <w:r>
        <w:rPr>
          <w:rFonts w:cstheme="minorHAnsi"/>
          <w:color w:val="201F1E"/>
        </w:rPr>
        <w:t>extendéry</w:t>
      </w:r>
      <w:proofErr w:type="spellEnd"/>
      <w:r>
        <w:rPr>
          <w:rFonts w:cstheme="minorHAnsi"/>
          <w:color w:val="201F1E"/>
        </w:rPr>
        <w:t xml:space="preserve"> pre predĺženie </w:t>
      </w:r>
      <w:proofErr w:type="spellStart"/>
      <w:r w:rsidRPr="00AB0C8E">
        <w:rPr>
          <w:rFonts w:cstheme="minorHAnsi"/>
          <w:color w:val="201F1E"/>
        </w:rPr>
        <w:t>ethernetov</w:t>
      </w:r>
      <w:r>
        <w:rPr>
          <w:rFonts w:cstheme="minorHAnsi"/>
          <w:color w:val="201F1E"/>
        </w:rPr>
        <w:t>ých</w:t>
      </w:r>
      <w:proofErr w:type="spellEnd"/>
      <w:r>
        <w:rPr>
          <w:rFonts w:cstheme="minorHAnsi"/>
          <w:color w:val="201F1E"/>
        </w:rPr>
        <w:t xml:space="preserve"> sietí po metalických kábloch (s rezervou minimálne pre 15 ks okrem existujúcich) vrátane vyriešenia napájania so zálohovaním pre eliminovanie dopadu krátkodobých výpadkov a zákmitov siete a inštalovanými </w:t>
      </w:r>
      <w:proofErr w:type="spellStart"/>
      <w:r>
        <w:rPr>
          <w:rFonts w:cstheme="minorHAnsi"/>
          <w:color w:val="201F1E"/>
        </w:rPr>
        <w:t>prepäťovými</w:t>
      </w:r>
      <w:proofErr w:type="spellEnd"/>
      <w:r>
        <w:rPr>
          <w:rFonts w:cstheme="minorHAnsi"/>
          <w:color w:val="201F1E"/>
        </w:rPr>
        <w:t xml:space="preserve"> ochranami na metalických kábloch</w:t>
      </w:r>
      <w:r w:rsidR="0088419B">
        <w:rPr>
          <w:rFonts w:cstheme="minorHAnsi"/>
          <w:color w:val="201F1E"/>
        </w:rPr>
        <w:t>,</w:t>
      </w:r>
    </w:p>
    <w:p w14:paraId="1DF275AD" w14:textId="19B886A0" w:rsidR="0088419B" w:rsidRPr="0088419B" w:rsidRDefault="0088419B" w:rsidP="00F930D4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color w:val="000000" w:themeColor="text1"/>
        </w:rPr>
      </w:pPr>
      <w:r>
        <w:rPr>
          <w:rFonts w:cstheme="minorHAnsi"/>
          <w:color w:val="201F1E"/>
        </w:rPr>
        <w:t>všetky inštalované zariadenia musia byť napájané pevným, priemyselným napájacím zdrojom osadeným na DIN lištu, v prípade zariadení s tzv. adaptérom je nutné tieto nahradiť,</w:t>
      </w:r>
    </w:p>
    <w:p w14:paraId="533E2EB9" w14:textId="7649A9C8" w:rsidR="0088419B" w:rsidRPr="00D14243" w:rsidRDefault="0088419B" w:rsidP="00313993">
      <w:pPr>
        <w:pStyle w:val="Odsekzoznamu"/>
        <w:numPr>
          <w:ilvl w:val="0"/>
          <w:numId w:val="9"/>
        </w:numPr>
        <w:spacing w:after="120" w:line="276" w:lineRule="auto"/>
        <w:jc w:val="both"/>
        <w:rPr>
          <w:color w:val="000000" w:themeColor="text1"/>
        </w:rPr>
      </w:pPr>
      <w:r w:rsidRPr="004777D2">
        <w:rPr>
          <w:rFonts w:cstheme="minorHAnsi"/>
          <w:color w:val="201F1E"/>
        </w:rPr>
        <w:t xml:space="preserve">vo všetkých objektoch súvisiacich s vedením káblov </w:t>
      </w:r>
      <w:r w:rsidR="004777D2">
        <w:rPr>
          <w:rFonts w:cstheme="minorHAnsi"/>
          <w:color w:val="201F1E"/>
        </w:rPr>
        <w:t>navrhnúť</w:t>
      </w:r>
      <w:r w:rsidR="00F931E4" w:rsidRPr="004777D2">
        <w:rPr>
          <w:rFonts w:cstheme="minorHAnsi"/>
          <w:color w:val="201F1E"/>
        </w:rPr>
        <w:t xml:space="preserve"> snímače</w:t>
      </w:r>
      <w:r w:rsidRPr="004777D2">
        <w:rPr>
          <w:rFonts w:cstheme="minorHAnsi"/>
          <w:color w:val="201F1E"/>
        </w:rPr>
        <w:t xml:space="preserve"> merani</w:t>
      </w:r>
      <w:r w:rsidR="00F931E4" w:rsidRPr="004777D2">
        <w:rPr>
          <w:rFonts w:cstheme="minorHAnsi"/>
          <w:color w:val="201F1E"/>
        </w:rPr>
        <w:t>a</w:t>
      </w:r>
      <w:r w:rsidRPr="004777D2">
        <w:rPr>
          <w:rFonts w:cstheme="minorHAnsi"/>
          <w:color w:val="201F1E"/>
        </w:rPr>
        <w:t xml:space="preserve"> teploty</w:t>
      </w:r>
      <w:r w:rsidR="004777D2">
        <w:rPr>
          <w:rFonts w:cstheme="minorHAnsi"/>
          <w:color w:val="201F1E"/>
        </w:rPr>
        <w:t>.</w:t>
      </w:r>
    </w:p>
    <w:p w14:paraId="1E358616" w14:textId="77777777" w:rsidR="00D14243" w:rsidRDefault="00D14243" w:rsidP="00D14243">
      <w:pPr>
        <w:spacing w:after="120" w:line="276" w:lineRule="auto"/>
        <w:jc w:val="both"/>
        <w:rPr>
          <w:color w:val="000000" w:themeColor="text1"/>
        </w:rPr>
      </w:pPr>
    </w:p>
    <w:tbl>
      <w:tblPr>
        <w:tblW w:w="86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4277"/>
      </w:tblGrid>
      <w:tr w:rsidR="00D14243" w:rsidRPr="00D14243" w14:paraId="002CA4CA" w14:textId="77777777" w:rsidTr="00D14243">
        <w:trPr>
          <w:jc w:val="center"/>
        </w:trPr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7FC6" w14:textId="77777777" w:rsidR="00D14243" w:rsidRPr="00D14243" w:rsidRDefault="00D14243" w:rsidP="00D14243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D14243">
              <w:rPr>
                <w:color w:val="000000" w:themeColor="text1"/>
              </w:rPr>
              <w:t>Popis</w:t>
            </w:r>
          </w:p>
        </w:tc>
        <w:tc>
          <w:tcPr>
            <w:tcW w:w="4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CAA3" w14:textId="77777777" w:rsidR="00D14243" w:rsidRPr="00D14243" w:rsidRDefault="00D14243" w:rsidP="00D14243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D14243">
              <w:rPr>
                <w:color w:val="000000" w:themeColor="text1"/>
              </w:rPr>
              <w:t>Suma v € bez DPH</w:t>
            </w:r>
          </w:p>
        </w:tc>
      </w:tr>
      <w:tr w:rsidR="00D14243" w:rsidRPr="00D14243" w14:paraId="7DABABB3" w14:textId="77777777" w:rsidTr="00D14243">
        <w:trPr>
          <w:jc w:val="center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7721" w14:textId="1EC14B40" w:rsidR="00D14243" w:rsidRPr="00D14243" w:rsidRDefault="00D14243" w:rsidP="00D14243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D14243">
              <w:rPr>
                <w:b/>
                <w:bCs/>
                <w:color w:val="000000" w:themeColor="text1"/>
              </w:rPr>
              <w:t xml:space="preserve">Vypracovanie </w:t>
            </w:r>
            <w:r w:rsidR="00216A3A">
              <w:rPr>
                <w:b/>
                <w:bCs/>
                <w:color w:val="000000" w:themeColor="text1"/>
              </w:rPr>
              <w:t xml:space="preserve">predmetu diela podľa </w:t>
            </w:r>
            <w:r w:rsidR="00893D93">
              <w:rPr>
                <w:b/>
                <w:bCs/>
                <w:color w:val="000000" w:themeColor="text1"/>
              </w:rPr>
              <w:t xml:space="preserve"> odstavca 1. písm. a) „</w:t>
            </w:r>
            <w:r w:rsidR="00893D93" w:rsidRPr="0098008D">
              <w:rPr>
                <w:color w:val="000000" w:themeColor="text1"/>
              </w:rPr>
              <w:t>vetva UB1101-UB1201</w:t>
            </w:r>
            <w:r w:rsidR="00624666">
              <w:rPr>
                <w:color w:val="000000" w:themeColor="text1"/>
              </w:rPr>
              <w:t>“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0B19" w14:textId="77777777" w:rsidR="00D14243" w:rsidRPr="00D14243" w:rsidRDefault="00D14243" w:rsidP="00D14243">
            <w:pPr>
              <w:spacing w:after="120" w:line="276" w:lineRule="auto"/>
              <w:jc w:val="both"/>
              <w:rPr>
                <w:color w:val="000000" w:themeColor="text1"/>
              </w:rPr>
            </w:pPr>
          </w:p>
        </w:tc>
      </w:tr>
      <w:tr w:rsidR="00624666" w:rsidRPr="00D14243" w14:paraId="1EA66281" w14:textId="77777777" w:rsidTr="00D14243">
        <w:trPr>
          <w:jc w:val="center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1866" w14:textId="055FBA20" w:rsidR="00624666" w:rsidRPr="00D14243" w:rsidRDefault="00624666" w:rsidP="00624666">
            <w:pPr>
              <w:spacing w:after="120" w:line="276" w:lineRule="auto"/>
              <w:jc w:val="both"/>
              <w:rPr>
                <w:b/>
                <w:bCs/>
                <w:color w:val="000000" w:themeColor="text1"/>
              </w:rPr>
            </w:pPr>
            <w:r w:rsidRPr="00D14243">
              <w:rPr>
                <w:b/>
                <w:bCs/>
                <w:color w:val="000000" w:themeColor="text1"/>
              </w:rPr>
              <w:t xml:space="preserve">Vypracovanie </w:t>
            </w:r>
            <w:r>
              <w:rPr>
                <w:b/>
                <w:bCs/>
                <w:color w:val="000000" w:themeColor="text1"/>
              </w:rPr>
              <w:t>predmetu diela podľa  odstavca 1. písm. b) „</w:t>
            </w:r>
            <w:r w:rsidR="00843D9D" w:rsidRPr="0098008D">
              <w:rPr>
                <w:color w:val="000000" w:themeColor="text1"/>
              </w:rPr>
              <w:t>vetva UB1101-UB1601</w:t>
            </w:r>
            <w:r>
              <w:rPr>
                <w:color w:val="000000" w:themeColor="text1"/>
              </w:rPr>
              <w:t>“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F81E" w14:textId="77777777" w:rsidR="00624666" w:rsidRPr="00D14243" w:rsidRDefault="00624666" w:rsidP="00624666">
            <w:pPr>
              <w:spacing w:after="120" w:line="276" w:lineRule="auto"/>
              <w:jc w:val="both"/>
              <w:rPr>
                <w:color w:val="000000" w:themeColor="text1"/>
              </w:rPr>
            </w:pPr>
          </w:p>
        </w:tc>
      </w:tr>
      <w:tr w:rsidR="00624666" w:rsidRPr="00D14243" w14:paraId="45AE1DA5" w14:textId="77777777" w:rsidTr="00D14243">
        <w:trPr>
          <w:jc w:val="center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A35C" w14:textId="009C3E4B" w:rsidR="00624666" w:rsidRPr="00D14243" w:rsidRDefault="00624666" w:rsidP="00624666">
            <w:pPr>
              <w:spacing w:after="120" w:line="276" w:lineRule="auto"/>
              <w:jc w:val="both"/>
              <w:rPr>
                <w:b/>
                <w:bCs/>
                <w:color w:val="000000" w:themeColor="text1"/>
              </w:rPr>
            </w:pPr>
            <w:r w:rsidRPr="00D14243">
              <w:rPr>
                <w:b/>
                <w:bCs/>
                <w:color w:val="000000" w:themeColor="text1"/>
              </w:rPr>
              <w:t xml:space="preserve">Vypracovanie </w:t>
            </w:r>
            <w:r>
              <w:rPr>
                <w:b/>
                <w:bCs/>
                <w:color w:val="000000" w:themeColor="text1"/>
              </w:rPr>
              <w:t>predmetu diela podľa  odstavca 1. písm. c) „</w:t>
            </w:r>
            <w:r w:rsidR="00843D9D" w:rsidRPr="0098008D">
              <w:rPr>
                <w:color w:val="000000" w:themeColor="text1"/>
              </w:rPr>
              <w:t>vetva Š11020-Š110 a Š11020-Š120</w:t>
            </w:r>
            <w:r>
              <w:rPr>
                <w:color w:val="000000" w:themeColor="text1"/>
              </w:rPr>
              <w:t>“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F649" w14:textId="77777777" w:rsidR="00624666" w:rsidRPr="00D14243" w:rsidRDefault="00624666" w:rsidP="00624666">
            <w:pPr>
              <w:spacing w:after="120" w:line="276" w:lineRule="auto"/>
              <w:jc w:val="both"/>
              <w:rPr>
                <w:color w:val="000000" w:themeColor="text1"/>
              </w:rPr>
            </w:pPr>
          </w:p>
        </w:tc>
      </w:tr>
      <w:tr w:rsidR="00624666" w:rsidRPr="00D14243" w14:paraId="6966CF5E" w14:textId="77777777" w:rsidTr="00D14243">
        <w:trPr>
          <w:jc w:val="center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73E4" w14:textId="107090B4" w:rsidR="00624666" w:rsidRPr="00D14243" w:rsidRDefault="00624666" w:rsidP="00624666">
            <w:pPr>
              <w:spacing w:after="120" w:line="276" w:lineRule="auto"/>
              <w:jc w:val="both"/>
              <w:rPr>
                <w:b/>
                <w:bCs/>
                <w:color w:val="000000" w:themeColor="text1"/>
              </w:rPr>
            </w:pPr>
            <w:r w:rsidRPr="00D14243">
              <w:rPr>
                <w:b/>
                <w:bCs/>
                <w:color w:val="000000" w:themeColor="text1"/>
              </w:rPr>
              <w:t xml:space="preserve">Vypracovanie </w:t>
            </w:r>
            <w:r>
              <w:rPr>
                <w:b/>
                <w:bCs/>
                <w:color w:val="000000" w:themeColor="text1"/>
              </w:rPr>
              <w:t>predmetu diela podľa  odstavca 1. písm. d) „</w:t>
            </w:r>
            <w:r w:rsidR="00843D9D" w:rsidRPr="0098008D">
              <w:rPr>
                <w:color w:val="000000" w:themeColor="text1"/>
              </w:rPr>
              <w:t>vetva UB1301-Š13010</w:t>
            </w:r>
            <w:r>
              <w:rPr>
                <w:color w:val="000000" w:themeColor="text1"/>
              </w:rPr>
              <w:t>“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CC7D" w14:textId="77777777" w:rsidR="00624666" w:rsidRPr="00D14243" w:rsidRDefault="00624666" w:rsidP="00624666">
            <w:pPr>
              <w:spacing w:after="120" w:line="276" w:lineRule="auto"/>
              <w:jc w:val="both"/>
              <w:rPr>
                <w:color w:val="000000" w:themeColor="text1"/>
              </w:rPr>
            </w:pPr>
          </w:p>
        </w:tc>
      </w:tr>
      <w:tr w:rsidR="00D14243" w:rsidRPr="00D14243" w14:paraId="0774087C" w14:textId="77777777" w:rsidTr="00D14243">
        <w:trPr>
          <w:jc w:val="center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E844" w14:textId="5468A440" w:rsidR="00D14243" w:rsidRPr="00D14243" w:rsidRDefault="00843D9D" w:rsidP="00D14243">
            <w:pPr>
              <w:spacing w:after="120" w:line="276" w:lineRule="auto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Spolu</w:t>
            </w:r>
            <w:r w:rsidR="00A063BF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4474" w14:textId="77777777" w:rsidR="00D14243" w:rsidRPr="00D14243" w:rsidRDefault="00D14243" w:rsidP="00D14243">
            <w:pPr>
              <w:spacing w:after="120" w:line="276" w:lineRule="auto"/>
              <w:jc w:val="both"/>
              <w:rPr>
                <w:color w:val="000000" w:themeColor="text1"/>
              </w:rPr>
            </w:pPr>
          </w:p>
        </w:tc>
      </w:tr>
    </w:tbl>
    <w:p w14:paraId="08770CDB" w14:textId="77777777" w:rsidR="00D14243" w:rsidRDefault="00D14243" w:rsidP="00D14243">
      <w:pPr>
        <w:spacing w:after="120" w:line="276" w:lineRule="auto"/>
        <w:jc w:val="both"/>
        <w:rPr>
          <w:color w:val="000000" w:themeColor="text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07"/>
        <w:gridCol w:w="709"/>
        <w:gridCol w:w="1276"/>
        <w:gridCol w:w="1270"/>
      </w:tblGrid>
      <w:tr w:rsidR="00656374" w:rsidRPr="00656374" w14:paraId="3584B9D7" w14:textId="77777777" w:rsidTr="00280044">
        <w:trPr>
          <w:trHeight w:val="615"/>
        </w:trPr>
        <w:tc>
          <w:tcPr>
            <w:tcW w:w="5807" w:type="dxa"/>
            <w:noWrap/>
            <w:hideMark/>
          </w:tcPr>
          <w:p w14:paraId="5F1FBBA6" w14:textId="77777777" w:rsidR="00656374" w:rsidRPr="00656374" w:rsidRDefault="00656374" w:rsidP="00656374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656374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F6EBA9A" w14:textId="77777777" w:rsidR="00656374" w:rsidRPr="00656374" w:rsidRDefault="00656374" w:rsidP="00F262EC">
            <w:pPr>
              <w:spacing w:after="120" w:line="276" w:lineRule="auto"/>
              <w:jc w:val="center"/>
              <w:rPr>
                <w:color w:val="000000" w:themeColor="text1"/>
              </w:rPr>
            </w:pPr>
            <w:r w:rsidRPr="00656374">
              <w:rPr>
                <w:color w:val="000000" w:themeColor="text1"/>
              </w:rPr>
              <w:t>Počet hodín</w:t>
            </w:r>
          </w:p>
        </w:tc>
        <w:tc>
          <w:tcPr>
            <w:tcW w:w="1276" w:type="dxa"/>
            <w:hideMark/>
          </w:tcPr>
          <w:p w14:paraId="35F98F72" w14:textId="459069A2" w:rsidR="00656374" w:rsidRPr="00656374" w:rsidRDefault="00656374" w:rsidP="00F262EC">
            <w:pPr>
              <w:spacing w:after="120" w:line="276" w:lineRule="auto"/>
              <w:jc w:val="center"/>
              <w:rPr>
                <w:color w:val="000000" w:themeColor="text1"/>
              </w:rPr>
            </w:pPr>
            <w:r w:rsidRPr="00656374">
              <w:rPr>
                <w:color w:val="000000" w:themeColor="text1"/>
              </w:rPr>
              <w:t>sadzba v €</w:t>
            </w:r>
            <w:r w:rsidR="00F262EC">
              <w:rPr>
                <w:color w:val="000000" w:themeColor="text1"/>
              </w:rPr>
              <w:t xml:space="preserve"> </w:t>
            </w:r>
            <w:r w:rsidRPr="00656374">
              <w:rPr>
                <w:color w:val="000000" w:themeColor="text1"/>
              </w:rPr>
              <w:t>bez DPH</w:t>
            </w:r>
          </w:p>
        </w:tc>
        <w:tc>
          <w:tcPr>
            <w:tcW w:w="1270" w:type="dxa"/>
            <w:hideMark/>
          </w:tcPr>
          <w:p w14:paraId="4200D8AA" w14:textId="77777777" w:rsidR="00656374" w:rsidRPr="00656374" w:rsidRDefault="00656374" w:rsidP="00F262EC">
            <w:pPr>
              <w:spacing w:after="120" w:line="276" w:lineRule="auto"/>
              <w:jc w:val="center"/>
              <w:rPr>
                <w:color w:val="000000" w:themeColor="text1"/>
              </w:rPr>
            </w:pPr>
            <w:r w:rsidRPr="00656374">
              <w:rPr>
                <w:color w:val="000000" w:themeColor="text1"/>
              </w:rPr>
              <w:t>Cena celkom bez DPH v €</w:t>
            </w:r>
          </w:p>
        </w:tc>
      </w:tr>
      <w:tr w:rsidR="00656374" w:rsidRPr="00656374" w14:paraId="2322DCD3" w14:textId="77777777" w:rsidTr="00280044">
        <w:trPr>
          <w:trHeight w:val="315"/>
        </w:trPr>
        <w:tc>
          <w:tcPr>
            <w:tcW w:w="5807" w:type="dxa"/>
            <w:noWrap/>
            <w:hideMark/>
          </w:tcPr>
          <w:p w14:paraId="3FDA3CE8" w14:textId="77777777" w:rsidR="00656374" w:rsidRPr="00656374" w:rsidRDefault="00656374" w:rsidP="00656374">
            <w:pPr>
              <w:spacing w:after="120" w:line="276" w:lineRule="auto"/>
              <w:jc w:val="both"/>
              <w:rPr>
                <w:b/>
                <w:bCs/>
                <w:color w:val="000000" w:themeColor="text1"/>
              </w:rPr>
            </w:pPr>
            <w:r w:rsidRPr="00656374">
              <w:rPr>
                <w:b/>
                <w:bCs/>
                <w:color w:val="000000" w:themeColor="text1"/>
              </w:rPr>
              <w:t>Vykonávanie odborného autorského dohľadu počas realizácie diela</w:t>
            </w:r>
          </w:p>
        </w:tc>
        <w:tc>
          <w:tcPr>
            <w:tcW w:w="709" w:type="dxa"/>
            <w:noWrap/>
            <w:hideMark/>
          </w:tcPr>
          <w:p w14:paraId="325F54EB" w14:textId="77777777" w:rsidR="00656374" w:rsidRPr="00656374" w:rsidRDefault="00656374" w:rsidP="00656374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656374">
              <w:rPr>
                <w:color w:val="000000" w:themeColor="text1"/>
              </w:rPr>
              <w:t>25</w:t>
            </w:r>
          </w:p>
        </w:tc>
        <w:tc>
          <w:tcPr>
            <w:tcW w:w="1276" w:type="dxa"/>
            <w:noWrap/>
            <w:hideMark/>
          </w:tcPr>
          <w:p w14:paraId="0E497D89" w14:textId="77777777" w:rsidR="00656374" w:rsidRPr="00656374" w:rsidRDefault="00656374" w:rsidP="00656374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656374">
              <w:rPr>
                <w:color w:val="000000" w:themeColor="text1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3461B328" w14:textId="77777777" w:rsidR="00656374" w:rsidRPr="00656374" w:rsidRDefault="00656374" w:rsidP="00656374">
            <w:pPr>
              <w:spacing w:after="120" w:line="276" w:lineRule="auto"/>
              <w:jc w:val="both"/>
              <w:rPr>
                <w:b/>
                <w:bCs/>
                <w:color w:val="000000" w:themeColor="text1"/>
              </w:rPr>
            </w:pPr>
            <w:r w:rsidRPr="00656374">
              <w:rPr>
                <w:b/>
                <w:bCs/>
                <w:color w:val="000000" w:themeColor="text1"/>
              </w:rPr>
              <w:t>0,00 €</w:t>
            </w:r>
          </w:p>
        </w:tc>
      </w:tr>
    </w:tbl>
    <w:p w14:paraId="7BEA2471" w14:textId="77777777" w:rsidR="00A1404A" w:rsidRPr="00D14243" w:rsidRDefault="00A1404A" w:rsidP="00D14243">
      <w:pPr>
        <w:spacing w:after="120" w:line="276" w:lineRule="auto"/>
        <w:jc w:val="both"/>
        <w:rPr>
          <w:color w:val="000000" w:themeColor="text1"/>
        </w:rPr>
      </w:pPr>
    </w:p>
    <w:sectPr w:rsidR="00A1404A" w:rsidRPr="00D142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6F5EB" w14:textId="77777777" w:rsidR="00472771" w:rsidRDefault="00472771" w:rsidP="00AF3582">
      <w:pPr>
        <w:spacing w:after="0" w:line="240" w:lineRule="auto"/>
      </w:pPr>
      <w:r>
        <w:separator/>
      </w:r>
    </w:p>
  </w:endnote>
  <w:endnote w:type="continuationSeparator" w:id="0">
    <w:p w14:paraId="7815B8C6" w14:textId="77777777" w:rsidR="00472771" w:rsidRDefault="00472771" w:rsidP="00AF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84090" w14:textId="77777777" w:rsidR="00472771" w:rsidRDefault="00472771" w:rsidP="00AF3582">
      <w:pPr>
        <w:spacing w:after="0" w:line="240" w:lineRule="auto"/>
      </w:pPr>
      <w:r>
        <w:separator/>
      </w:r>
    </w:p>
  </w:footnote>
  <w:footnote w:type="continuationSeparator" w:id="0">
    <w:p w14:paraId="0526B879" w14:textId="77777777" w:rsidR="00472771" w:rsidRDefault="00472771" w:rsidP="00AF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4530" w14:textId="57DF3909" w:rsidR="00AF3582" w:rsidRDefault="00AF3582">
    <w:pPr>
      <w:pStyle w:val="Hlavika"/>
    </w:pPr>
    <w:r>
      <w:t>Technická špecifikácia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B66"/>
    <w:multiLevelType w:val="hybridMultilevel"/>
    <w:tmpl w:val="E95ACF32"/>
    <w:lvl w:ilvl="0" w:tplc="512697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4C0"/>
    <w:multiLevelType w:val="hybridMultilevel"/>
    <w:tmpl w:val="CDC0D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CC1"/>
    <w:multiLevelType w:val="hybridMultilevel"/>
    <w:tmpl w:val="A23EA500"/>
    <w:lvl w:ilvl="0" w:tplc="5126976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5D40EB"/>
    <w:multiLevelType w:val="hybridMultilevel"/>
    <w:tmpl w:val="FB4067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18E1"/>
    <w:multiLevelType w:val="hybridMultilevel"/>
    <w:tmpl w:val="DD2ED958"/>
    <w:lvl w:ilvl="0" w:tplc="B50AB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BBF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099CE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40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45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4A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E3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0C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CB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17D05"/>
    <w:multiLevelType w:val="hybridMultilevel"/>
    <w:tmpl w:val="46523A4E"/>
    <w:lvl w:ilvl="0" w:tplc="14D0C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60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CF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ED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67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AD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EE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C3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48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7E00E"/>
    <w:multiLevelType w:val="hybridMultilevel"/>
    <w:tmpl w:val="1E08789A"/>
    <w:lvl w:ilvl="0" w:tplc="4B822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A3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03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7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28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04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8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8C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6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0EC4"/>
    <w:multiLevelType w:val="hybridMultilevel"/>
    <w:tmpl w:val="1332A52C"/>
    <w:lvl w:ilvl="0" w:tplc="F482C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E6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67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A4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D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60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C9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20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E0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619DE"/>
    <w:multiLevelType w:val="hybridMultilevel"/>
    <w:tmpl w:val="717E8FB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4646029">
    <w:abstractNumId w:val="2"/>
  </w:num>
  <w:num w:numId="2" w16cid:durableId="1805780111">
    <w:abstractNumId w:val="0"/>
  </w:num>
  <w:num w:numId="3" w16cid:durableId="1815753087">
    <w:abstractNumId w:val="5"/>
  </w:num>
  <w:num w:numId="4" w16cid:durableId="183441656">
    <w:abstractNumId w:val="6"/>
  </w:num>
  <w:num w:numId="5" w16cid:durableId="1118065381">
    <w:abstractNumId w:val="7"/>
  </w:num>
  <w:num w:numId="6" w16cid:durableId="615526742">
    <w:abstractNumId w:val="4"/>
  </w:num>
  <w:num w:numId="7" w16cid:durableId="486089764">
    <w:abstractNumId w:val="3"/>
  </w:num>
  <w:num w:numId="8" w16cid:durableId="1332759626">
    <w:abstractNumId w:val="1"/>
  </w:num>
  <w:num w:numId="9" w16cid:durableId="1955939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9"/>
    <w:rsid w:val="00040F9B"/>
    <w:rsid w:val="00046E6B"/>
    <w:rsid w:val="00056B4B"/>
    <w:rsid w:val="00072362"/>
    <w:rsid w:val="000D526F"/>
    <w:rsid w:val="000D6D83"/>
    <w:rsid w:val="00137688"/>
    <w:rsid w:val="00141CED"/>
    <w:rsid w:val="00152740"/>
    <w:rsid w:val="001537CF"/>
    <w:rsid w:val="001700BF"/>
    <w:rsid w:val="001E507F"/>
    <w:rsid w:val="001E5950"/>
    <w:rsid w:val="00216A3A"/>
    <w:rsid w:val="002300DC"/>
    <w:rsid w:val="00233A5A"/>
    <w:rsid w:val="00280044"/>
    <w:rsid w:val="00290740"/>
    <w:rsid w:val="002972DB"/>
    <w:rsid w:val="002C50B2"/>
    <w:rsid w:val="0031018F"/>
    <w:rsid w:val="00317062"/>
    <w:rsid w:val="00363242"/>
    <w:rsid w:val="0036459F"/>
    <w:rsid w:val="00393FE5"/>
    <w:rsid w:val="004207C3"/>
    <w:rsid w:val="00420D9B"/>
    <w:rsid w:val="00431B92"/>
    <w:rsid w:val="00472771"/>
    <w:rsid w:val="004777D2"/>
    <w:rsid w:val="004860F0"/>
    <w:rsid w:val="004D40F2"/>
    <w:rsid w:val="004E6A50"/>
    <w:rsid w:val="00503AB7"/>
    <w:rsid w:val="00514589"/>
    <w:rsid w:val="00531276"/>
    <w:rsid w:val="005426FE"/>
    <w:rsid w:val="005701E6"/>
    <w:rsid w:val="00592C01"/>
    <w:rsid w:val="005D3101"/>
    <w:rsid w:val="005D4D7A"/>
    <w:rsid w:val="005D531F"/>
    <w:rsid w:val="00624666"/>
    <w:rsid w:val="00624BDD"/>
    <w:rsid w:val="00650A74"/>
    <w:rsid w:val="00656374"/>
    <w:rsid w:val="006813A6"/>
    <w:rsid w:val="006820A8"/>
    <w:rsid w:val="00683552"/>
    <w:rsid w:val="00693E85"/>
    <w:rsid w:val="0069681F"/>
    <w:rsid w:val="00705672"/>
    <w:rsid w:val="007252F0"/>
    <w:rsid w:val="00742824"/>
    <w:rsid w:val="0078353D"/>
    <w:rsid w:val="007A5BEB"/>
    <w:rsid w:val="0081363C"/>
    <w:rsid w:val="0082470D"/>
    <w:rsid w:val="0082562B"/>
    <w:rsid w:val="00841976"/>
    <w:rsid w:val="00843D9D"/>
    <w:rsid w:val="00853303"/>
    <w:rsid w:val="0088419B"/>
    <w:rsid w:val="00893D93"/>
    <w:rsid w:val="008A4508"/>
    <w:rsid w:val="008B1B42"/>
    <w:rsid w:val="008B51AA"/>
    <w:rsid w:val="008C3C76"/>
    <w:rsid w:val="008D2E48"/>
    <w:rsid w:val="00910538"/>
    <w:rsid w:val="0098008D"/>
    <w:rsid w:val="009D3B5C"/>
    <w:rsid w:val="00A063BF"/>
    <w:rsid w:val="00A07933"/>
    <w:rsid w:val="00A1404A"/>
    <w:rsid w:val="00A35852"/>
    <w:rsid w:val="00A61A42"/>
    <w:rsid w:val="00A8023B"/>
    <w:rsid w:val="00A83709"/>
    <w:rsid w:val="00A8598D"/>
    <w:rsid w:val="00A94F13"/>
    <w:rsid w:val="00A9750C"/>
    <w:rsid w:val="00AA0E4E"/>
    <w:rsid w:val="00AD3585"/>
    <w:rsid w:val="00AF3582"/>
    <w:rsid w:val="00B5794D"/>
    <w:rsid w:val="00B67D58"/>
    <w:rsid w:val="00B7374A"/>
    <w:rsid w:val="00BB0F7A"/>
    <w:rsid w:val="00BE055B"/>
    <w:rsid w:val="00C770EE"/>
    <w:rsid w:val="00CA29C7"/>
    <w:rsid w:val="00CA557C"/>
    <w:rsid w:val="00CA5E06"/>
    <w:rsid w:val="00CA72E0"/>
    <w:rsid w:val="00CB0C98"/>
    <w:rsid w:val="00CB4A59"/>
    <w:rsid w:val="00CD1D90"/>
    <w:rsid w:val="00CD22BB"/>
    <w:rsid w:val="00CD6A3E"/>
    <w:rsid w:val="00D14243"/>
    <w:rsid w:val="00D453ED"/>
    <w:rsid w:val="00D47758"/>
    <w:rsid w:val="00D647D3"/>
    <w:rsid w:val="00D8657F"/>
    <w:rsid w:val="00D9054E"/>
    <w:rsid w:val="00D92B96"/>
    <w:rsid w:val="00DA3FA8"/>
    <w:rsid w:val="00DA42EB"/>
    <w:rsid w:val="00E32379"/>
    <w:rsid w:val="00E51CDC"/>
    <w:rsid w:val="00EF41DD"/>
    <w:rsid w:val="00F262EC"/>
    <w:rsid w:val="00F84918"/>
    <w:rsid w:val="00F930D4"/>
    <w:rsid w:val="00F931E4"/>
    <w:rsid w:val="00F952FF"/>
    <w:rsid w:val="00FB77CB"/>
    <w:rsid w:val="00FC3F05"/>
    <w:rsid w:val="00FE42A4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D15D"/>
  <w15:chartTrackingRefBased/>
  <w15:docId w15:val="{2AE487C1-5BF2-47D2-B899-1F5ECC75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4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4A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4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4A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4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4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4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4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4A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4A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4A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4A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4A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4A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4A5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4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4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4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4A59"/>
    <w:rPr>
      <w:i/>
      <w:iCs/>
      <w:color w:val="404040" w:themeColor="text1" w:themeTint="BF"/>
    </w:rPr>
  </w:style>
  <w:style w:type="paragraph" w:styleId="Odsekzoznamu">
    <w:name w:val="List Paragraph"/>
    <w:aliases w:val="Odsek,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link w:val="OdsekzoznamuChar"/>
    <w:uiPriority w:val="34"/>
    <w:qFormat/>
    <w:rsid w:val="00CB4A5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4A5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4A5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4A59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3582"/>
  </w:style>
  <w:style w:type="paragraph" w:styleId="Pta">
    <w:name w:val="footer"/>
    <w:basedOn w:val="Normlny"/>
    <w:link w:val="PtaChar"/>
    <w:uiPriority w:val="99"/>
    <w:unhideWhenUsed/>
    <w:rsid w:val="00A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3582"/>
  </w:style>
  <w:style w:type="character" w:styleId="Odkaznakomentr">
    <w:name w:val="annotation reference"/>
    <w:basedOn w:val="Predvolenpsmoodseku"/>
    <w:uiPriority w:val="99"/>
    <w:semiHidden/>
    <w:unhideWhenUsed/>
    <w:rsid w:val="00DA42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42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42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42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42EB"/>
    <w:rPr>
      <w:b/>
      <w:bCs/>
      <w:sz w:val="20"/>
      <w:szCs w:val="20"/>
    </w:rPr>
  </w:style>
  <w:style w:type="character" w:customStyle="1" w:styleId="OdsekzoznamuChar">
    <w:name w:val="Odsek zoznamu Char"/>
    <w:aliases w:val="Odsek Char,Bullet Number Char,Bullet List Char,FooterText Char,numbered Char,List Paragraph1 Char,Paragraphe de liste1 Char,Bulletr List Paragraph Char,列出段落 Char,列出段落1 Char,List Paragraph2 Char,List Paragraph21 Char,Listeafsnit1 Char"/>
    <w:link w:val="Odsekzoznamu"/>
    <w:uiPriority w:val="34"/>
    <w:locked/>
    <w:rsid w:val="0069681F"/>
  </w:style>
  <w:style w:type="table" w:styleId="Mriekatabuky">
    <w:name w:val="Table Grid"/>
    <w:basedOn w:val="Normlnatabuka"/>
    <w:uiPriority w:val="59"/>
    <w:rsid w:val="006968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unhideWhenUsed/>
    <w:rsid w:val="00A0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E6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9625-2CF3-44C7-8E3A-60228A027E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1742</Words>
  <Characters>9933</Characters>
  <Application>Microsoft Office Word</Application>
  <DocSecurity>4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TEKO, a.s.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Vancák Marek</dc:creator>
  <cp:keywords/>
  <dc:description/>
  <cp:lastModifiedBy>Kretovičová Mária</cp:lastModifiedBy>
  <cp:revision>2</cp:revision>
  <dcterms:created xsi:type="dcterms:W3CDTF">2025-07-09T08:13:00Z</dcterms:created>
  <dcterms:modified xsi:type="dcterms:W3CDTF">2025-07-09T08:13:00Z</dcterms:modified>
</cp:coreProperties>
</file>